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DD92" w14:textId="5B808699" w:rsidR="00290486" w:rsidRPr="00CC66AA" w:rsidRDefault="00290486" w:rsidP="00290486">
      <w:pPr>
        <w:pStyle w:val="Titre"/>
        <w:spacing w:line="360" w:lineRule="auto"/>
        <w:rPr>
          <w:rFonts w:ascii="Arial" w:hAnsi="Arial" w:cs="Arial"/>
          <w:b/>
          <w:bCs/>
          <w:sz w:val="40"/>
          <w:szCs w:val="40"/>
        </w:rPr>
      </w:pPr>
      <w:r w:rsidRPr="00CC66AA">
        <w:rPr>
          <w:rFonts w:ascii="Arial" w:hAnsi="Arial" w:cs="Arial"/>
          <w:b/>
          <w:bCs/>
          <w:sz w:val="40"/>
          <w:szCs w:val="40"/>
        </w:rPr>
        <w:t>Kiosque #</w:t>
      </w:r>
      <w:r>
        <w:rPr>
          <w:rFonts w:ascii="Arial" w:hAnsi="Arial" w:cs="Arial"/>
          <w:b/>
          <w:bCs/>
          <w:sz w:val="40"/>
          <w:szCs w:val="40"/>
        </w:rPr>
        <w:t>8</w:t>
      </w:r>
    </w:p>
    <w:p w14:paraId="760C1D05" w14:textId="334D9EB3" w:rsidR="00BD07A7" w:rsidRPr="00290486" w:rsidRDefault="00290486" w:rsidP="00290486">
      <w:pPr>
        <w:pStyle w:val="Titre1"/>
        <w:spacing w:before="0" w:line="360" w:lineRule="auto"/>
        <w:rPr>
          <w:rFonts w:ascii="Arial" w:hAnsi="Arial" w:cs="Arial"/>
          <w:b/>
          <w:bCs/>
          <w:color w:val="000000" w:themeColor="text1"/>
          <w:sz w:val="28"/>
          <w:szCs w:val="28"/>
        </w:rPr>
      </w:pPr>
      <w:r w:rsidRPr="00290486">
        <w:rPr>
          <w:rFonts w:ascii="Arial" w:hAnsi="Arial" w:cs="Arial"/>
          <w:b/>
          <w:bCs/>
          <w:color w:val="000000" w:themeColor="text1"/>
          <w:sz w:val="28"/>
          <w:szCs w:val="28"/>
        </w:rPr>
        <w:t>Accès à l’information</w:t>
      </w:r>
    </w:p>
    <w:p w14:paraId="42137285" w14:textId="77777777" w:rsidR="00290486" w:rsidRDefault="00290486" w:rsidP="00290486">
      <w:pPr>
        <w:spacing w:after="0" w:line="360" w:lineRule="auto"/>
        <w:rPr>
          <w:rFonts w:ascii="Arial" w:hAnsi="Arial" w:cs="Arial"/>
          <w:sz w:val="24"/>
          <w:szCs w:val="24"/>
        </w:rPr>
      </w:pPr>
    </w:p>
    <w:p w14:paraId="6934BC6B" w14:textId="69AA372C" w:rsidR="005504DB" w:rsidRDefault="005504DB" w:rsidP="00290486">
      <w:pPr>
        <w:spacing w:after="0" w:line="360" w:lineRule="auto"/>
        <w:rPr>
          <w:rFonts w:ascii="Arial" w:hAnsi="Arial" w:cs="Arial"/>
          <w:sz w:val="24"/>
          <w:szCs w:val="24"/>
        </w:rPr>
      </w:pPr>
      <w:r w:rsidRPr="00290486">
        <w:rPr>
          <w:rFonts w:ascii="Arial" w:hAnsi="Arial" w:cs="Arial"/>
          <w:sz w:val="24"/>
          <w:szCs w:val="24"/>
        </w:rPr>
        <w:t>André C. Moreau</w:t>
      </w:r>
      <w:r w:rsidR="00290486" w:rsidRPr="00290486">
        <w:rPr>
          <w:rFonts w:ascii="Arial" w:hAnsi="Arial" w:cs="Arial"/>
          <w:sz w:val="24"/>
          <w:szCs w:val="24"/>
        </w:rPr>
        <w:t xml:space="preserve"> (UQO)</w:t>
      </w:r>
      <w:r w:rsidRPr="00290486">
        <w:rPr>
          <w:rFonts w:ascii="Arial" w:hAnsi="Arial" w:cs="Arial"/>
          <w:sz w:val="24"/>
          <w:szCs w:val="24"/>
        </w:rPr>
        <w:t xml:space="preserve"> sera disponible pour répondre à vos questions. </w:t>
      </w:r>
    </w:p>
    <w:p w14:paraId="03670482" w14:textId="2224A627" w:rsidR="00290486" w:rsidRDefault="00290486" w:rsidP="00290486">
      <w:pPr>
        <w:spacing w:after="0" w:line="360" w:lineRule="auto"/>
        <w:rPr>
          <w:rFonts w:ascii="Arial" w:hAnsi="Arial" w:cs="Arial"/>
          <w:sz w:val="24"/>
          <w:szCs w:val="24"/>
        </w:rPr>
      </w:pPr>
    </w:p>
    <w:p w14:paraId="17403990" w14:textId="77777777" w:rsidR="00290486" w:rsidRDefault="00290486" w:rsidP="00290486">
      <w:pPr>
        <w:spacing w:after="0" w:line="360" w:lineRule="auto"/>
        <w:rPr>
          <w:b/>
          <w:bCs/>
          <w:sz w:val="24"/>
          <w:szCs w:val="24"/>
        </w:rPr>
      </w:pPr>
      <w:r>
        <w:rPr>
          <w:rFonts w:ascii="Arial" w:hAnsi="Arial" w:cs="Arial"/>
          <w:b/>
          <w:bCs/>
          <w:sz w:val="24"/>
          <w:szCs w:val="24"/>
        </w:rPr>
        <w:t>Descriptif :</w:t>
      </w:r>
      <w:r w:rsidR="00BD07A7" w:rsidRPr="005504DB">
        <w:rPr>
          <w:b/>
          <w:bCs/>
          <w:sz w:val="24"/>
          <w:szCs w:val="24"/>
        </w:rPr>
        <w:t xml:space="preserve"> </w:t>
      </w:r>
    </w:p>
    <w:p w14:paraId="72416F3B" w14:textId="77777777" w:rsidR="00290486" w:rsidRDefault="00BD07A7" w:rsidP="00290486">
      <w:pPr>
        <w:spacing w:after="0" w:line="360" w:lineRule="auto"/>
        <w:rPr>
          <w:b/>
          <w:bCs/>
          <w:sz w:val="24"/>
          <w:szCs w:val="24"/>
        </w:rPr>
      </w:pPr>
      <w:r w:rsidRPr="00290486">
        <w:rPr>
          <w:rFonts w:ascii="Arial" w:hAnsi="Arial" w:cs="Arial"/>
          <w:sz w:val="24"/>
          <w:szCs w:val="24"/>
        </w:rPr>
        <w:t xml:space="preserve">Le kiosque présente le </w:t>
      </w:r>
      <w:r w:rsidRPr="00290486">
        <w:rPr>
          <w:rFonts w:ascii="Arial" w:hAnsi="Arial" w:cs="Arial"/>
          <w:b/>
          <w:bCs/>
          <w:sz w:val="24"/>
          <w:szCs w:val="24"/>
        </w:rPr>
        <w:t>matériel développé dans le cadre de la recherche</w:t>
      </w:r>
      <w:r w:rsidR="0092068C" w:rsidRPr="00290486">
        <w:rPr>
          <w:rFonts w:ascii="Arial" w:hAnsi="Arial" w:cs="Arial"/>
          <w:b/>
          <w:bCs/>
          <w:sz w:val="24"/>
          <w:szCs w:val="24"/>
        </w:rPr>
        <w:t>-action</w:t>
      </w:r>
      <w:r w:rsidR="0092068C" w:rsidRPr="00290486">
        <w:rPr>
          <w:rFonts w:ascii="Arial" w:hAnsi="Arial" w:cs="Arial"/>
          <w:sz w:val="24"/>
          <w:szCs w:val="24"/>
        </w:rPr>
        <w:t xml:space="preserve"> </w:t>
      </w:r>
      <w:r w:rsidRPr="00290486">
        <w:rPr>
          <w:rFonts w:ascii="Arial" w:hAnsi="Arial" w:cs="Arial"/>
          <w:sz w:val="24"/>
          <w:szCs w:val="24"/>
        </w:rPr>
        <w:t xml:space="preserve">intitulée </w:t>
      </w:r>
      <w:r w:rsidRPr="00290486">
        <w:rPr>
          <w:rFonts w:ascii="Arial" w:hAnsi="Arial" w:cs="Arial"/>
          <w:i/>
          <w:iCs/>
          <w:sz w:val="24"/>
          <w:szCs w:val="24"/>
        </w:rPr>
        <w:t>Accéder à l’information et à sa compréhension pour une société inclusive</w:t>
      </w:r>
      <w:r w:rsidR="0092068C" w:rsidRPr="00290486">
        <w:rPr>
          <w:rFonts w:ascii="Arial" w:hAnsi="Arial" w:cs="Arial"/>
          <w:i/>
          <w:iCs/>
          <w:sz w:val="24"/>
          <w:szCs w:val="24"/>
        </w:rPr>
        <w:t xml:space="preserve">. </w:t>
      </w:r>
      <w:r w:rsidRPr="00290486">
        <w:rPr>
          <w:rFonts w:ascii="Arial" w:hAnsi="Arial" w:cs="Arial"/>
          <w:sz w:val="24"/>
          <w:szCs w:val="24"/>
        </w:rPr>
        <w:t xml:space="preserve"> </w:t>
      </w:r>
      <w:r w:rsidR="0092068C" w:rsidRPr="00290486">
        <w:rPr>
          <w:rFonts w:ascii="Arial" w:hAnsi="Arial" w:cs="Arial"/>
          <w:sz w:val="24"/>
          <w:szCs w:val="24"/>
        </w:rPr>
        <w:t>C’est une r</w:t>
      </w:r>
      <w:r w:rsidRPr="00290486">
        <w:rPr>
          <w:rFonts w:ascii="Arial" w:hAnsi="Arial" w:cs="Arial"/>
          <w:sz w:val="24"/>
          <w:szCs w:val="24"/>
        </w:rPr>
        <w:t xml:space="preserve">echerche-action pour augmenter l’accès à l’information pour les personnes ayant des incapacités ou de faibles compétences en littératie (Ruel, Romero-Torres et al, 2018-2020). </w:t>
      </w:r>
    </w:p>
    <w:p w14:paraId="058DDE2D" w14:textId="77777777" w:rsidR="00290486" w:rsidRDefault="00290486" w:rsidP="00290486">
      <w:pPr>
        <w:spacing w:after="0" w:line="360" w:lineRule="auto"/>
        <w:rPr>
          <w:b/>
          <w:bCs/>
          <w:sz w:val="24"/>
          <w:szCs w:val="24"/>
        </w:rPr>
      </w:pPr>
    </w:p>
    <w:p w14:paraId="3794B829" w14:textId="53552C35" w:rsidR="00BD07A7" w:rsidRPr="00290486" w:rsidRDefault="00BD07A7" w:rsidP="00290486">
      <w:pPr>
        <w:spacing w:after="0" w:line="360" w:lineRule="auto"/>
        <w:rPr>
          <w:b/>
          <w:bCs/>
          <w:sz w:val="24"/>
          <w:szCs w:val="24"/>
        </w:rPr>
      </w:pPr>
      <w:r w:rsidRPr="00290486">
        <w:rPr>
          <w:rFonts w:ascii="Arial" w:hAnsi="Arial" w:cs="Arial"/>
          <w:sz w:val="24"/>
          <w:szCs w:val="24"/>
        </w:rPr>
        <w:t xml:space="preserve">Cette recherche, financée par Société inclusive, a regroupé des partenaires des milieux associatifs desservant des personnes vivant avec des incapacités, du milieu de la recherche, d’un organisme à but non lucratif spécialisé en langage simplifié, du milieu gouvernemental et de la santé et des services sociaux pour mettre en commun, développer et rendre disponible du matériel qui viendra soutenir les décideurs, les services, les communautés et les producteurs d’information. La recherche-action visait donc à augmenter l’accès à l’information et à sa compréhension pour les personnes ayant des incapacités, notamment celles ayant des incapacités cognitives ou un faible niveau de littératie. </w:t>
      </w:r>
    </w:p>
    <w:p w14:paraId="4FDEEF69" w14:textId="77777777" w:rsidR="00BD07A7" w:rsidRDefault="00BD07A7" w:rsidP="00BD07A7">
      <w:pPr>
        <w:autoSpaceDE w:val="0"/>
        <w:autoSpaceDN w:val="0"/>
        <w:adjustRightInd w:val="0"/>
        <w:spacing w:after="0"/>
        <w:rPr>
          <w:rFonts w:ascii="Arial" w:hAnsi="Arial" w:cs="Arial"/>
          <w:b/>
          <w:bCs/>
        </w:rPr>
      </w:pPr>
    </w:p>
    <w:p w14:paraId="4841CE2B" w14:textId="2CCB8A78" w:rsidR="00BD07A7" w:rsidRPr="00290486" w:rsidRDefault="00BD07A7" w:rsidP="00BD07A7">
      <w:pPr>
        <w:autoSpaceDE w:val="0"/>
        <w:autoSpaceDN w:val="0"/>
        <w:adjustRightInd w:val="0"/>
        <w:spacing w:after="0"/>
        <w:rPr>
          <w:rFonts w:ascii="Arial" w:hAnsi="Arial" w:cs="Arial"/>
          <w:b/>
          <w:bCs/>
          <w:sz w:val="24"/>
          <w:szCs w:val="24"/>
        </w:rPr>
      </w:pPr>
      <w:r w:rsidRPr="00290486">
        <w:rPr>
          <w:rFonts w:ascii="Arial" w:hAnsi="Arial" w:cs="Arial"/>
          <w:b/>
          <w:bCs/>
          <w:sz w:val="24"/>
          <w:szCs w:val="24"/>
        </w:rPr>
        <w:t>Contenu du kiosque</w:t>
      </w:r>
    </w:p>
    <w:p w14:paraId="06DC6B83" w14:textId="35D24C4D" w:rsidR="005504DB" w:rsidRPr="00290486" w:rsidRDefault="00BD07A7" w:rsidP="0092068C">
      <w:pPr>
        <w:autoSpaceDE w:val="0"/>
        <w:autoSpaceDN w:val="0"/>
        <w:adjustRightInd w:val="0"/>
        <w:spacing w:before="120" w:after="120" w:line="276" w:lineRule="auto"/>
        <w:rPr>
          <w:rFonts w:ascii="Arial" w:hAnsi="Arial" w:cs="Arial"/>
          <w:color w:val="212529"/>
          <w:sz w:val="24"/>
          <w:szCs w:val="24"/>
        </w:rPr>
      </w:pPr>
      <w:r w:rsidRPr="00290486">
        <w:rPr>
          <w:rFonts w:ascii="Arial" w:hAnsi="Arial" w:cs="Arial"/>
          <w:sz w:val="24"/>
          <w:szCs w:val="24"/>
        </w:rPr>
        <w:t xml:space="preserve">Le matériel </w:t>
      </w:r>
      <w:r w:rsidR="005504DB" w:rsidRPr="00290486">
        <w:rPr>
          <w:rFonts w:ascii="Arial" w:hAnsi="Arial" w:cs="Arial"/>
          <w:sz w:val="24"/>
          <w:szCs w:val="24"/>
        </w:rPr>
        <w:t>présenté</w:t>
      </w:r>
      <w:r w:rsidR="0092068C" w:rsidRPr="00290486">
        <w:rPr>
          <w:rFonts w:ascii="Arial" w:hAnsi="Arial" w:cs="Arial"/>
          <w:sz w:val="24"/>
          <w:szCs w:val="24"/>
        </w:rPr>
        <w:t xml:space="preserve"> </w:t>
      </w:r>
      <w:r w:rsidRPr="00290486">
        <w:rPr>
          <w:rFonts w:ascii="Arial" w:hAnsi="Arial" w:cs="Arial"/>
          <w:sz w:val="24"/>
          <w:szCs w:val="24"/>
        </w:rPr>
        <w:t xml:space="preserve">est entièrement disponible sur </w:t>
      </w:r>
      <w:r w:rsidR="005504DB" w:rsidRPr="00290486">
        <w:rPr>
          <w:rFonts w:ascii="Arial" w:hAnsi="Arial" w:cs="Arial"/>
          <w:sz w:val="24"/>
          <w:szCs w:val="24"/>
        </w:rPr>
        <w:t xml:space="preserve">le </w:t>
      </w:r>
      <w:r w:rsidRPr="00290486">
        <w:rPr>
          <w:rFonts w:ascii="Arial" w:hAnsi="Arial" w:cs="Arial"/>
          <w:sz w:val="24"/>
          <w:szCs w:val="24"/>
        </w:rPr>
        <w:t xml:space="preserve">site Internet </w:t>
      </w:r>
      <w:hyperlink r:id="rId5" w:history="1">
        <w:r w:rsidRPr="00290486">
          <w:rPr>
            <w:rStyle w:val="Lienhypertexte"/>
            <w:rFonts w:ascii="Arial" w:hAnsi="Arial" w:cs="Arial"/>
            <w:sz w:val="24"/>
            <w:szCs w:val="24"/>
          </w:rPr>
          <w:t>http://w4.uqo.ca/infoaccessible/</w:t>
        </w:r>
      </w:hyperlink>
      <w:r w:rsidRPr="00290486">
        <w:rPr>
          <w:rFonts w:ascii="Arial" w:hAnsi="Arial" w:cs="Arial"/>
          <w:sz w:val="24"/>
          <w:szCs w:val="24"/>
        </w:rPr>
        <w:t xml:space="preserve">. </w:t>
      </w:r>
      <w:r w:rsidR="0092068C" w:rsidRPr="00290486">
        <w:rPr>
          <w:rFonts w:ascii="Arial" w:hAnsi="Arial" w:cs="Arial"/>
          <w:sz w:val="24"/>
          <w:szCs w:val="24"/>
        </w:rPr>
        <w:t>Il s’</w:t>
      </w:r>
      <w:r w:rsidRPr="00290486">
        <w:rPr>
          <w:rFonts w:ascii="Arial" w:hAnsi="Arial" w:cs="Arial"/>
          <w:color w:val="212529"/>
          <w:sz w:val="24"/>
          <w:szCs w:val="24"/>
        </w:rPr>
        <w:t>adresse à toute personne, organisation ou communauté appelée à produire, réviser ou adapter des contenus d’information d’intérêt général</w:t>
      </w:r>
      <w:r w:rsidR="0092068C" w:rsidRPr="00290486">
        <w:rPr>
          <w:rFonts w:ascii="Arial" w:hAnsi="Arial" w:cs="Arial"/>
          <w:color w:val="212529"/>
          <w:sz w:val="24"/>
          <w:szCs w:val="24"/>
        </w:rPr>
        <w:t>,</w:t>
      </w:r>
      <w:r w:rsidRPr="00290486">
        <w:rPr>
          <w:rFonts w:ascii="Arial" w:hAnsi="Arial" w:cs="Arial"/>
          <w:color w:val="212529"/>
          <w:sz w:val="24"/>
          <w:szCs w:val="24"/>
        </w:rPr>
        <w:t xml:space="preserve"> de façon inclusive.</w:t>
      </w:r>
    </w:p>
    <w:p w14:paraId="157D0C74" w14:textId="78ED4645" w:rsidR="00BD07A7" w:rsidRPr="00290486" w:rsidRDefault="005504DB" w:rsidP="0092068C">
      <w:pPr>
        <w:pStyle w:val="NormalWeb"/>
        <w:shd w:val="clear" w:color="auto" w:fill="FFFFFF"/>
        <w:spacing w:before="120" w:beforeAutospacing="0" w:after="120" w:afterAutospacing="0" w:line="276" w:lineRule="auto"/>
        <w:rPr>
          <w:rFonts w:ascii="Arial" w:hAnsi="Arial" w:cs="Arial"/>
          <w:color w:val="212529"/>
        </w:rPr>
      </w:pPr>
      <w:r w:rsidRPr="00290486">
        <w:rPr>
          <w:rFonts w:ascii="Arial" w:hAnsi="Arial" w:cs="Arial"/>
          <w:color w:val="212529"/>
        </w:rPr>
        <w:t xml:space="preserve">Le site </w:t>
      </w:r>
      <w:proofErr w:type="spellStart"/>
      <w:r w:rsidRPr="00290486">
        <w:rPr>
          <w:rFonts w:ascii="Arial" w:hAnsi="Arial" w:cs="Arial"/>
          <w:color w:val="212529"/>
        </w:rPr>
        <w:t>Infoaccessible</w:t>
      </w:r>
      <w:proofErr w:type="spellEnd"/>
      <w:r w:rsidRPr="00290486">
        <w:rPr>
          <w:rFonts w:ascii="Arial" w:hAnsi="Arial" w:cs="Arial"/>
          <w:color w:val="212529"/>
        </w:rPr>
        <w:t xml:space="preserve"> o</w:t>
      </w:r>
      <w:r w:rsidR="00BD07A7" w:rsidRPr="00290486">
        <w:rPr>
          <w:rFonts w:ascii="Arial" w:hAnsi="Arial" w:cs="Arial"/>
          <w:color w:val="212529"/>
        </w:rPr>
        <w:t>ffre une banque de ressources en matière d’accessibilité à l’information réparties entre 5 catégories, sous les onglets suivants :</w:t>
      </w:r>
    </w:p>
    <w:p w14:paraId="4EFE8234" w14:textId="4D6CF7BC" w:rsidR="005504DB" w:rsidRPr="00290486" w:rsidRDefault="00290486" w:rsidP="0092068C">
      <w:pPr>
        <w:numPr>
          <w:ilvl w:val="0"/>
          <w:numId w:val="1"/>
        </w:numPr>
        <w:shd w:val="clear" w:color="auto" w:fill="FFFFFF"/>
        <w:spacing w:before="120" w:after="120" w:line="276" w:lineRule="auto"/>
        <w:rPr>
          <w:rFonts w:ascii="Arial" w:hAnsi="Arial" w:cs="Arial"/>
          <w:color w:val="212529"/>
          <w:sz w:val="24"/>
          <w:szCs w:val="24"/>
        </w:rPr>
      </w:pPr>
      <w:hyperlink r:id="rId6" w:history="1">
        <w:r w:rsidR="00BD07A7" w:rsidRPr="00290486">
          <w:rPr>
            <w:rStyle w:val="Lienhypertexte"/>
            <w:rFonts w:ascii="Arial" w:hAnsi="Arial" w:cs="Arial"/>
            <w:color w:val="2D0BFF"/>
            <w:sz w:val="24"/>
            <w:szCs w:val="24"/>
          </w:rPr>
          <w:t>Sensibilisation :</w:t>
        </w:r>
      </w:hyperlink>
      <w:r w:rsidR="00BD07A7" w:rsidRPr="00290486">
        <w:rPr>
          <w:rFonts w:ascii="Arial" w:hAnsi="Arial" w:cs="Arial"/>
          <w:color w:val="212529"/>
          <w:sz w:val="24"/>
          <w:szCs w:val="24"/>
        </w:rPr>
        <w:t> vidéos qui présentent des faits, des chiffres et des stratégies en matière de littératie et d’accès à l’information.</w:t>
      </w:r>
    </w:p>
    <w:p w14:paraId="143169EE" w14:textId="77777777" w:rsidR="00BD07A7" w:rsidRPr="00290486" w:rsidRDefault="00290486" w:rsidP="0092068C">
      <w:pPr>
        <w:numPr>
          <w:ilvl w:val="0"/>
          <w:numId w:val="1"/>
        </w:numPr>
        <w:shd w:val="clear" w:color="auto" w:fill="FFFFFF"/>
        <w:spacing w:before="120" w:after="120" w:line="276" w:lineRule="auto"/>
        <w:rPr>
          <w:rFonts w:ascii="Arial" w:hAnsi="Arial" w:cs="Arial"/>
          <w:color w:val="212529"/>
          <w:sz w:val="24"/>
          <w:szCs w:val="24"/>
        </w:rPr>
      </w:pPr>
      <w:hyperlink r:id="rId7" w:history="1">
        <w:r w:rsidR="00BD07A7" w:rsidRPr="00290486">
          <w:rPr>
            <w:rStyle w:val="Lienhypertexte"/>
            <w:rFonts w:ascii="Arial" w:hAnsi="Arial" w:cs="Arial"/>
            <w:color w:val="2D0BFF"/>
            <w:sz w:val="24"/>
            <w:szCs w:val="24"/>
          </w:rPr>
          <w:t>Références :</w:t>
        </w:r>
      </w:hyperlink>
      <w:r w:rsidR="00BD07A7" w:rsidRPr="00290486">
        <w:rPr>
          <w:rFonts w:ascii="Arial" w:hAnsi="Arial" w:cs="Arial"/>
          <w:color w:val="212529"/>
          <w:sz w:val="24"/>
          <w:szCs w:val="24"/>
        </w:rPr>
        <w:t> normes, politiques, guides, sites Web de référence, listes de vérification en matière d’accessibilité.</w:t>
      </w:r>
    </w:p>
    <w:p w14:paraId="46B99B37" w14:textId="77777777" w:rsidR="00BD07A7" w:rsidRPr="00290486" w:rsidRDefault="00290486" w:rsidP="0092068C">
      <w:pPr>
        <w:numPr>
          <w:ilvl w:val="0"/>
          <w:numId w:val="1"/>
        </w:numPr>
        <w:shd w:val="clear" w:color="auto" w:fill="FFFFFF"/>
        <w:spacing w:before="120" w:after="120" w:line="276" w:lineRule="auto"/>
        <w:rPr>
          <w:rFonts w:ascii="Arial" w:hAnsi="Arial" w:cs="Arial"/>
          <w:color w:val="212529"/>
          <w:sz w:val="24"/>
          <w:szCs w:val="24"/>
        </w:rPr>
      </w:pPr>
      <w:hyperlink r:id="rId8" w:history="1">
        <w:r w:rsidR="00BD07A7" w:rsidRPr="00290486">
          <w:rPr>
            <w:rStyle w:val="Lienhypertexte"/>
            <w:rFonts w:ascii="Arial" w:hAnsi="Arial" w:cs="Arial"/>
            <w:color w:val="2D0BFF"/>
            <w:sz w:val="24"/>
            <w:szCs w:val="24"/>
          </w:rPr>
          <w:t>Rédaction :</w:t>
        </w:r>
      </w:hyperlink>
      <w:r w:rsidR="00BD07A7" w:rsidRPr="00290486">
        <w:rPr>
          <w:rFonts w:ascii="Arial" w:hAnsi="Arial" w:cs="Arial"/>
          <w:color w:val="212529"/>
          <w:sz w:val="24"/>
          <w:szCs w:val="24"/>
        </w:rPr>
        <w:t> exemples de bonnes pratiques, conseils et liste de vérification pour rédiger des contenus de façon accessible.</w:t>
      </w:r>
    </w:p>
    <w:p w14:paraId="598458F5" w14:textId="77777777" w:rsidR="00BD07A7" w:rsidRPr="00290486" w:rsidRDefault="00290486" w:rsidP="0092068C">
      <w:pPr>
        <w:numPr>
          <w:ilvl w:val="0"/>
          <w:numId w:val="1"/>
        </w:numPr>
        <w:shd w:val="clear" w:color="auto" w:fill="FFFFFF"/>
        <w:spacing w:before="120" w:after="120" w:line="276" w:lineRule="auto"/>
        <w:rPr>
          <w:rFonts w:ascii="Arial" w:hAnsi="Arial" w:cs="Arial"/>
          <w:color w:val="212529"/>
          <w:sz w:val="24"/>
          <w:szCs w:val="24"/>
        </w:rPr>
      </w:pPr>
      <w:hyperlink r:id="rId9" w:history="1">
        <w:r w:rsidR="00BD07A7" w:rsidRPr="00290486">
          <w:rPr>
            <w:rStyle w:val="Lienhypertexte"/>
            <w:rFonts w:ascii="Arial" w:hAnsi="Arial" w:cs="Arial"/>
            <w:color w:val="2D0BFF"/>
            <w:sz w:val="24"/>
            <w:szCs w:val="24"/>
          </w:rPr>
          <w:t>Images :</w:t>
        </w:r>
      </w:hyperlink>
      <w:r w:rsidR="00BD07A7" w:rsidRPr="00290486">
        <w:rPr>
          <w:rFonts w:ascii="Arial" w:hAnsi="Arial" w:cs="Arial"/>
          <w:color w:val="212529"/>
          <w:sz w:val="24"/>
          <w:szCs w:val="24"/>
        </w:rPr>
        <w:t> exemples, lignes directrices, banque d’images, critères et liste de vérification pour concevoir et utiliser des visuels plus accessibles.</w:t>
      </w:r>
    </w:p>
    <w:p w14:paraId="081904B3" w14:textId="20447283" w:rsidR="008204B9" w:rsidRPr="00290486" w:rsidRDefault="00290486" w:rsidP="000D2EDA">
      <w:pPr>
        <w:numPr>
          <w:ilvl w:val="0"/>
          <w:numId w:val="1"/>
        </w:numPr>
        <w:shd w:val="clear" w:color="auto" w:fill="FFFFFF"/>
        <w:spacing w:before="120" w:after="120" w:line="276" w:lineRule="auto"/>
        <w:rPr>
          <w:rFonts w:ascii="Arial" w:hAnsi="Arial" w:cs="Arial"/>
          <w:color w:val="212529"/>
          <w:sz w:val="24"/>
          <w:szCs w:val="24"/>
        </w:rPr>
      </w:pPr>
      <w:hyperlink r:id="rId10" w:history="1">
        <w:r w:rsidR="00BD07A7" w:rsidRPr="00290486">
          <w:rPr>
            <w:rStyle w:val="Lienhypertexte"/>
            <w:rFonts w:ascii="Arial" w:hAnsi="Arial" w:cs="Arial"/>
            <w:color w:val="2D0BFF"/>
            <w:sz w:val="24"/>
            <w:szCs w:val="24"/>
          </w:rPr>
          <w:t>Numérique :</w:t>
        </w:r>
      </w:hyperlink>
      <w:r w:rsidR="00BD07A7" w:rsidRPr="00290486">
        <w:rPr>
          <w:rFonts w:ascii="Arial" w:hAnsi="Arial" w:cs="Arial"/>
          <w:color w:val="212529"/>
          <w:sz w:val="24"/>
          <w:szCs w:val="24"/>
        </w:rPr>
        <w:t> exemples de ressources, lignes directrices et liste de vérification pour concevoir des contenus destinés au Web ou à d’autres plateformes numériques</w:t>
      </w:r>
      <w:r w:rsidR="000D2EDA" w:rsidRPr="00290486">
        <w:rPr>
          <w:rFonts w:ascii="Arial" w:hAnsi="Arial" w:cs="Arial"/>
          <w:color w:val="212529"/>
          <w:sz w:val="24"/>
          <w:szCs w:val="24"/>
        </w:rPr>
        <w:t>.</w:t>
      </w:r>
    </w:p>
    <w:sectPr w:rsidR="008204B9" w:rsidRPr="002904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30299"/>
    <w:multiLevelType w:val="multilevel"/>
    <w:tmpl w:val="B876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9148B"/>
    <w:multiLevelType w:val="hybridMultilevel"/>
    <w:tmpl w:val="9A6A6EAE"/>
    <w:lvl w:ilvl="0" w:tplc="6DB8AD40">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A7"/>
    <w:rsid w:val="000D2EDA"/>
    <w:rsid w:val="001777BC"/>
    <w:rsid w:val="00290486"/>
    <w:rsid w:val="005246DF"/>
    <w:rsid w:val="005504DB"/>
    <w:rsid w:val="008204B9"/>
    <w:rsid w:val="0092068C"/>
    <w:rsid w:val="00A374E3"/>
    <w:rsid w:val="00BD07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8ED6"/>
  <w15:chartTrackingRefBased/>
  <w15:docId w15:val="{9CE7EBFF-6B9F-440C-BE92-376C2046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0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BD07A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07A7"/>
    <w:rPr>
      <w:color w:val="0563C1" w:themeColor="hyperlink"/>
      <w:u w:val="single"/>
    </w:rPr>
  </w:style>
  <w:style w:type="character" w:styleId="Mentionnonrsolue">
    <w:name w:val="Unresolved Mention"/>
    <w:basedOn w:val="Policepardfaut"/>
    <w:uiPriority w:val="99"/>
    <w:semiHidden/>
    <w:unhideWhenUsed/>
    <w:rsid w:val="00BD07A7"/>
    <w:rPr>
      <w:color w:val="605E5C"/>
      <w:shd w:val="clear" w:color="auto" w:fill="E1DFDD"/>
    </w:rPr>
  </w:style>
  <w:style w:type="character" w:customStyle="1" w:styleId="Titre2Car">
    <w:name w:val="Titre 2 Car"/>
    <w:basedOn w:val="Policepardfaut"/>
    <w:link w:val="Titre2"/>
    <w:uiPriority w:val="9"/>
    <w:rsid w:val="00BD07A7"/>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BD07A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5504DB"/>
    <w:pPr>
      <w:ind w:left="720"/>
      <w:contextualSpacing/>
    </w:pPr>
  </w:style>
  <w:style w:type="character" w:styleId="Lienhypertextesuivivisit">
    <w:name w:val="FollowedHyperlink"/>
    <w:basedOn w:val="Policepardfaut"/>
    <w:uiPriority w:val="99"/>
    <w:semiHidden/>
    <w:unhideWhenUsed/>
    <w:rsid w:val="000D2EDA"/>
    <w:rPr>
      <w:color w:val="954F72" w:themeColor="followedHyperlink"/>
      <w:u w:val="single"/>
    </w:rPr>
  </w:style>
  <w:style w:type="paragraph" w:styleId="Titre">
    <w:name w:val="Title"/>
    <w:basedOn w:val="Normal"/>
    <w:next w:val="Normal"/>
    <w:link w:val="TitreCar"/>
    <w:uiPriority w:val="10"/>
    <w:qFormat/>
    <w:rsid w:val="002904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048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904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9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4.uqo.ca/infoaccessible/redaction.html" TargetMode="External"/><Relationship Id="rId3" Type="http://schemas.openxmlformats.org/officeDocument/2006/relationships/settings" Target="settings.xml"/><Relationship Id="rId7" Type="http://schemas.openxmlformats.org/officeDocument/2006/relationships/hyperlink" Target="http://w4.uqo.ca/infoaccessible/referen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4.uqo.ca/infoaccessible/sensibilisation.html" TargetMode="External"/><Relationship Id="rId11" Type="http://schemas.openxmlformats.org/officeDocument/2006/relationships/fontTable" Target="fontTable.xml"/><Relationship Id="rId5" Type="http://schemas.openxmlformats.org/officeDocument/2006/relationships/hyperlink" Target="http://w4.uqo.ca/infoaccessible/" TargetMode="External"/><Relationship Id="rId10" Type="http://schemas.openxmlformats.org/officeDocument/2006/relationships/hyperlink" Target="http://w4.uqo.ca/infoaccessible/numerique.html" TargetMode="External"/><Relationship Id="rId4" Type="http://schemas.openxmlformats.org/officeDocument/2006/relationships/webSettings" Target="webSettings.xml"/><Relationship Id="rId9" Type="http://schemas.openxmlformats.org/officeDocument/2006/relationships/hyperlink" Target="http://w4.uqo.ca/infoaccessible/im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2252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Mélanie Beauregard</cp:lastModifiedBy>
  <cp:revision>3</cp:revision>
  <dcterms:created xsi:type="dcterms:W3CDTF">2020-10-16T09:56:00Z</dcterms:created>
  <dcterms:modified xsi:type="dcterms:W3CDTF">2020-10-19T18:45:00Z</dcterms:modified>
</cp:coreProperties>
</file>