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FCF8" w14:textId="4C14248E" w:rsidR="004B5167" w:rsidRPr="00683E32" w:rsidRDefault="004B5167" w:rsidP="004B5167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683E32">
        <w:rPr>
          <w:rFonts w:ascii="Arial" w:hAnsi="Arial" w:cs="Arial"/>
          <w:b/>
          <w:bCs/>
          <w:sz w:val="40"/>
          <w:szCs w:val="40"/>
        </w:rPr>
        <w:t>Kiosque #5</w:t>
      </w:r>
    </w:p>
    <w:p w14:paraId="064A5318" w14:textId="3C15DCB3" w:rsidR="00E909CD" w:rsidRPr="00683E32" w:rsidRDefault="00E909CD" w:rsidP="004B5167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83E32">
        <w:rPr>
          <w:rFonts w:ascii="Arial" w:hAnsi="Arial" w:cs="Arial"/>
          <w:b/>
          <w:bCs/>
          <w:color w:val="000000" w:themeColor="text1"/>
          <w:sz w:val="28"/>
          <w:szCs w:val="28"/>
        </w:rPr>
        <w:t>Résultats préliminaires sur les stratégies d'évitement de piétons virtuels exprimant de l’émotion chez des personnes avec et sans traumatisme craniocérébral</w:t>
      </w:r>
    </w:p>
    <w:p w14:paraId="2DC09845" w14:textId="77777777" w:rsidR="004B5167" w:rsidRPr="00683E32" w:rsidRDefault="004B5167" w:rsidP="004B5167">
      <w:pPr>
        <w:spacing w:line="360" w:lineRule="auto"/>
        <w:rPr>
          <w:rFonts w:ascii="Arial" w:hAnsi="Arial" w:cs="Arial"/>
          <w:sz w:val="24"/>
          <w:szCs w:val="24"/>
          <w:lang w:val="fr-CA" w:eastAsia="en-US"/>
        </w:rPr>
      </w:pPr>
    </w:p>
    <w:p w14:paraId="700DD9ED" w14:textId="7786E9B4" w:rsidR="00E909CD" w:rsidRPr="00572A10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572A10">
        <w:rPr>
          <w:rFonts w:ascii="Arial" w:hAnsi="Arial" w:cs="Arial"/>
          <w:sz w:val="24"/>
          <w:szCs w:val="24"/>
          <w:lang w:val="fr-CA"/>
        </w:rPr>
        <w:t>Sean D. Lynch</w:t>
      </w:r>
      <w:r w:rsidRPr="00572A10">
        <w:rPr>
          <w:rFonts w:ascii="Arial" w:hAnsi="Arial" w:cs="Arial"/>
          <w:sz w:val="24"/>
          <w:szCs w:val="24"/>
          <w:vertAlign w:val="superscript"/>
          <w:lang w:val="fr-CA"/>
        </w:rPr>
        <w:t>1,2,3</w:t>
      </w:r>
      <w:r w:rsidRPr="00572A10">
        <w:rPr>
          <w:rFonts w:ascii="Arial" w:hAnsi="Arial" w:cs="Arial"/>
          <w:sz w:val="24"/>
          <w:szCs w:val="24"/>
          <w:lang w:val="fr-CA"/>
        </w:rPr>
        <w:t>, Bradford J. McFadyen</w:t>
      </w:r>
      <w:r w:rsidRPr="00572A10">
        <w:rPr>
          <w:rFonts w:ascii="Arial" w:hAnsi="Arial" w:cs="Arial"/>
          <w:sz w:val="24"/>
          <w:szCs w:val="24"/>
          <w:vertAlign w:val="superscript"/>
          <w:lang w:val="fr-CA"/>
        </w:rPr>
        <w:t>34</w:t>
      </w:r>
      <w:r w:rsidRPr="00572A10">
        <w:rPr>
          <w:rFonts w:ascii="Arial" w:hAnsi="Arial" w:cs="Arial"/>
          <w:sz w:val="24"/>
          <w:szCs w:val="24"/>
          <w:lang w:val="fr-CA"/>
        </w:rPr>
        <w:t>, Philip L. Jackson</w:t>
      </w:r>
      <w:r w:rsidRPr="00572A10">
        <w:rPr>
          <w:rFonts w:ascii="Arial" w:hAnsi="Arial" w:cs="Arial"/>
          <w:sz w:val="24"/>
          <w:szCs w:val="24"/>
          <w:vertAlign w:val="superscript"/>
          <w:lang w:val="fr-CA"/>
        </w:rPr>
        <w:t>35</w:t>
      </w:r>
      <w:r w:rsidRPr="00572A10">
        <w:rPr>
          <w:rFonts w:ascii="Arial" w:hAnsi="Arial" w:cs="Arial"/>
          <w:sz w:val="24"/>
          <w:szCs w:val="24"/>
          <w:lang w:val="fr-CA"/>
        </w:rPr>
        <w:t>, Anouk Lamontagne</w:t>
      </w:r>
      <w:r w:rsidRPr="00572A10">
        <w:rPr>
          <w:rFonts w:ascii="Arial" w:hAnsi="Arial" w:cs="Arial"/>
          <w:sz w:val="24"/>
          <w:szCs w:val="24"/>
          <w:vertAlign w:val="superscript"/>
          <w:lang w:val="fr-CA"/>
        </w:rPr>
        <w:t>1,2</w:t>
      </w:r>
      <w:r w:rsidR="00683E32" w:rsidRPr="00683E32">
        <w:rPr>
          <w:sz w:val="21"/>
          <w:szCs w:val="21"/>
          <w:lang w:val="fr-CA"/>
        </w:rPr>
        <w:t xml:space="preserve">, </w:t>
      </w:r>
      <w:r w:rsidR="00683E32" w:rsidRPr="00683E32">
        <w:rPr>
          <w:rFonts w:ascii="Arial" w:hAnsi="Arial" w:cs="Arial"/>
          <w:sz w:val="24"/>
          <w:szCs w:val="24"/>
          <w:lang w:val="fr-CA"/>
        </w:rPr>
        <w:t>Pascal Brodeur</w:t>
      </w:r>
      <w:r w:rsidR="00683E32" w:rsidRPr="00683E32">
        <w:rPr>
          <w:rFonts w:ascii="Arial" w:hAnsi="Arial" w:cs="Arial"/>
          <w:sz w:val="24"/>
          <w:szCs w:val="24"/>
          <w:vertAlign w:val="superscript"/>
          <w:lang w:val="fr-CA"/>
        </w:rPr>
        <w:t>6</w:t>
      </w:r>
    </w:p>
    <w:p w14:paraId="69211A73" w14:textId="77777777" w:rsidR="004B5167" w:rsidRPr="00683E32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École de physiothérapie et d’ergothérapie, Université McGill, </w:t>
      </w:r>
    </w:p>
    <w:p w14:paraId="529DEDAD" w14:textId="77777777" w:rsidR="004B5167" w:rsidRPr="00683E32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FR"/>
        </w:rPr>
        <w:t>2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CRIR - Feil and Oberfeld Centre de recherche, site Hôpital juif de réadaptation – CISSS de Laval, </w:t>
      </w:r>
    </w:p>
    <w:p w14:paraId="0193A062" w14:textId="77777777" w:rsidR="004B5167" w:rsidRPr="00683E32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FR"/>
        </w:rPr>
        <w:t>3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Centre de recherche interdisciplinaire en réadaptation et intégration sociale, CIUSSS-CN, </w:t>
      </w:r>
    </w:p>
    <w:p w14:paraId="4E73D283" w14:textId="77777777" w:rsidR="00683E32" w:rsidRPr="00683E32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CA"/>
        </w:rPr>
        <w:t>4</w:t>
      </w:r>
      <w:r w:rsidRPr="00683E32">
        <w:rPr>
          <w:rFonts w:ascii="Arial" w:hAnsi="Arial" w:cs="Arial"/>
          <w:sz w:val="24"/>
          <w:szCs w:val="24"/>
          <w:lang w:val="fr-CA"/>
        </w:rPr>
        <w:t xml:space="preserve">Départment de Réadaptation, Université Laval, </w:t>
      </w:r>
    </w:p>
    <w:p w14:paraId="48E941CA" w14:textId="159F7BE5" w:rsidR="00E909CD" w:rsidRPr="00683E32" w:rsidRDefault="00E909CD" w:rsidP="004B516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CA"/>
        </w:rPr>
        <w:t>5</w:t>
      </w:r>
      <w:r w:rsidRPr="00683E32">
        <w:rPr>
          <w:rFonts w:ascii="Arial" w:hAnsi="Arial" w:cs="Arial"/>
          <w:sz w:val="24"/>
          <w:szCs w:val="24"/>
          <w:lang w:val="fr-CA"/>
        </w:rPr>
        <w:t>École de psychologie, Université Laval</w:t>
      </w:r>
      <w:r w:rsidR="00683E32" w:rsidRPr="00683E32">
        <w:rPr>
          <w:rFonts w:ascii="Arial" w:hAnsi="Arial" w:cs="Arial"/>
          <w:sz w:val="24"/>
          <w:szCs w:val="24"/>
          <w:lang w:val="fr-CA"/>
        </w:rPr>
        <w:t>,</w:t>
      </w:r>
    </w:p>
    <w:p w14:paraId="1D425ABB" w14:textId="77777777" w:rsidR="00683E32" w:rsidRPr="00683E32" w:rsidRDefault="00683E32" w:rsidP="00683E32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683E32">
        <w:rPr>
          <w:rFonts w:ascii="Arial" w:hAnsi="Arial" w:cs="Arial"/>
          <w:sz w:val="24"/>
          <w:szCs w:val="24"/>
          <w:vertAlign w:val="superscript"/>
          <w:lang w:val="fr-CA"/>
        </w:rPr>
        <w:t>6</w:t>
      </w:r>
      <w:r w:rsidRPr="00683E32">
        <w:rPr>
          <w:rFonts w:ascii="Arial" w:hAnsi="Arial" w:cs="Arial"/>
          <w:sz w:val="24"/>
          <w:szCs w:val="24"/>
          <w:lang w:val="fr-CA"/>
        </w:rPr>
        <w:t>Association québécoise des traumatisés crâniens</w:t>
      </w:r>
    </w:p>
    <w:p w14:paraId="5EE1F35F" w14:textId="77777777" w:rsidR="00683E32" w:rsidRPr="00683E32" w:rsidRDefault="00683E32" w:rsidP="004B5167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14:paraId="7717BF1E" w14:textId="122008EC" w:rsidR="00E909CD" w:rsidRPr="00683E32" w:rsidRDefault="00025E2B" w:rsidP="00025E2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683E32">
        <w:rPr>
          <w:rFonts w:ascii="Arial" w:hAnsi="Arial" w:cs="Arial"/>
          <w:b/>
          <w:bCs/>
          <w:sz w:val="24"/>
          <w:szCs w:val="24"/>
          <w:lang w:val="fr-CA"/>
        </w:rPr>
        <w:t>Résumé de la présentation :</w:t>
      </w:r>
    </w:p>
    <w:p w14:paraId="0043AEB7" w14:textId="2228A498" w:rsidR="0053386B" w:rsidRPr="00683E32" w:rsidRDefault="0053386B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lang w:val="fr-FR"/>
        </w:rPr>
        <w:t>Introduction</w:t>
      </w:r>
      <w:r w:rsidR="004B5167" w:rsidRPr="00683E32">
        <w:rPr>
          <w:rFonts w:ascii="Arial" w:hAnsi="Arial" w:cs="Arial"/>
          <w:sz w:val="24"/>
          <w:szCs w:val="24"/>
          <w:lang w:val="fr-FR"/>
        </w:rPr>
        <w:t xml:space="preserve"> :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Pour naviguer avec succès dans un environnement sans collision, les piétons vont extraire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d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es informations de l'environnement et des autres piétons, comme l'état émotionnel ou les intentions des autres. La capacité de lire l'expression émotionnelle est une condition indispensable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au succès de l’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interaction sociale.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Identifier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ce que ressent un autre piéton permet à l'observateur d'anticiper ses intentions futures et de réguler son comportement en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conséquence </w:t>
      </w:r>
      <w:r w:rsidRPr="00683E32">
        <w:rPr>
          <w:rFonts w:ascii="Arial" w:hAnsi="Arial" w:cs="Arial"/>
          <w:sz w:val="24"/>
          <w:szCs w:val="24"/>
          <w:lang w:val="fr-FR"/>
        </w:rPr>
        <w:t>(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par exemple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éviter un conflit avec un individu en colère). Nos principales questions sont les suivantes : 1) Quels sont les indices visuels utilisés pour percevoir une émotion ? 2) Quelles sont les stratégies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locomotrices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d'évitement utilisées lors de l'interaction avec un individu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démontrant des émotions </w:t>
      </w:r>
      <w:r w:rsidRPr="00683E32">
        <w:rPr>
          <w:rFonts w:ascii="Arial" w:hAnsi="Arial" w:cs="Arial"/>
          <w:sz w:val="24"/>
          <w:szCs w:val="24"/>
          <w:lang w:val="fr-FR"/>
        </w:rPr>
        <w:t>?</w:t>
      </w:r>
    </w:p>
    <w:p w14:paraId="6B5770EB" w14:textId="37044371" w:rsidR="0053386B" w:rsidRPr="00683E32" w:rsidRDefault="0053386B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lang w:val="fr-FR"/>
        </w:rPr>
        <w:lastRenderedPageBreak/>
        <w:t>Méthodes</w:t>
      </w:r>
      <w:r w:rsidR="004B5167" w:rsidRPr="00683E32">
        <w:rPr>
          <w:rFonts w:ascii="Arial" w:hAnsi="Arial" w:cs="Arial"/>
          <w:sz w:val="24"/>
          <w:szCs w:val="24"/>
          <w:lang w:val="fr-FR"/>
        </w:rPr>
        <w:t xml:space="preserve"> :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Vingt participants en bonne santé et vingt </w:t>
      </w:r>
      <w:r w:rsidR="009E6AAE" w:rsidRPr="00683E32">
        <w:rPr>
          <w:rFonts w:ascii="Arial" w:hAnsi="Arial" w:cs="Arial"/>
          <w:sz w:val="24"/>
          <w:szCs w:val="24"/>
          <w:lang w:val="fr-FR"/>
        </w:rPr>
        <w:t>personnes qui ont souffrent d'un traumatisme crânien modéré à sévère (</w:t>
      </w:r>
      <w:r w:rsidR="008F3BCF" w:rsidRPr="00683E32">
        <w:rPr>
          <w:rFonts w:ascii="Arial" w:hAnsi="Arial" w:cs="Arial"/>
          <w:sz w:val="24"/>
          <w:szCs w:val="24"/>
          <w:lang w:val="fr-FR"/>
        </w:rPr>
        <w:t>TCCm/s</w:t>
      </w:r>
      <w:r w:rsidR="009E6AAE" w:rsidRPr="00683E32">
        <w:rPr>
          <w:rFonts w:ascii="Arial" w:hAnsi="Arial" w:cs="Arial"/>
          <w:sz w:val="24"/>
          <w:szCs w:val="24"/>
          <w:lang w:val="fr-FR"/>
        </w:rPr>
        <w:t xml:space="preserve">)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seront immergés dans un environnement virtuel communautaire qui sera visualisé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dans un casque HTC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VIVE Pro Eye. Un humain virtuel (H</w:t>
      </w:r>
      <w:r w:rsidR="008F3BCF" w:rsidRPr="00683E32">
        <w:rPr>
          <w:rFonts w:ascii="Arial" w:hAnsi="Arial" w:cs="Arial"/>
          <w:sz w:val="24"/>
          <w:szCs w:val="24"/>
          <w:lang w:val="fr-FR"/>
        </w:rPr>
        <w:t>V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) approchera les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participants de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trois directions possibles : directement en face du participant ou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en diagonale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à ±30° </w:t>
      </w:r>
      <w:r w:rsidR="008F3BCF" w:rsidRPr="00683E32">
        <w:rPr>
          <w:rFonts w:ascii="Arial" w:hAnsi="Arial" w:cs="Arial"/>
          <w:sz w:val="24"/>
          <w:szCs w:val="24"/>
          <w:lang w:val="fr-CA"/>
        </w:rPr>
        <w:t>à gauche et à droite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. Pour chaque direction d'approche,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l’HV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croisera la trajectoire du participant à un point de collision théorique.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L’HV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exprimera l'une des quatre émotions suivantes : colère, joie, tristesse ou neutralité par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son patron de marche</w:t>
      </w:r>
      <w:r w:rsidRPr="00683E32">
        <w:rPr>
          <w:rFonts w:ascii="Arial" w:hAnsi="Arial" w:cs="Arial"/>
          <w:sz w:val="24"/>
          <w:szCs w:val="24"/>
          <w:lang w:val="fr-FR"/>
        </w:rPr>
        <w:t>. Les participants seront invités à marcher vers un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e cible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et à éviter toute collision avec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l’HV</w:t>
      </w:r>
      <w:r w:rsidRPr="00683E32">
        <w:rPr>
          <w:rFonts w:ascii="Arial" w:hAnsi="Arial" w:cs="Arial"/>
          <w:sz w:val="24"/>
          <w:szCs w:val="24"/>
          <w:lang w:val="fr-FR"/>
        </w:rPr>
        <w:t>. Après chaque essai, le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s participants </w:t>
      </w:r>
      <w:r w:rsidRPr="00683E32">
        <w:rPr>
          <w:rFonts w:ascii="Arial" w:hAnsi="Arial" w:cs="Arial"/>
          <w:sz w:val="24"/>
          <w:szCs w:val="24"/>
          <w:lang w:val="fr-FR"/>
        </w:rPr>
        <w:t>fer</w:t>
      </w:r>
      <w:r w:rsidR="008F3BCF" w:rsidRPr="00683E32">
        <w:rPr>
          <w:rFonts w:ascii="Arial" w:hAnsi="Arial" w:cs="Arial"/>
          <w:sz w:val="24"/>
          <w:szCs w:val="24"/>
          <w:lang w:val="fr-FR"/>
        </w:rPr>
        <w:t>ont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part de l'émotion perçue. Les variables dépendantes comprennent la distance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minimale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de dégagement, le début de l'évitement et la vitesse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de marche </w:t>
      </w:r>
      <w:r w:rsidRPr="00683E32">
        <w:rPr>
          <w:rFonts w:ascii="Arial" w:hAnsi="Arial" w:cs="Arial"/>
          <w:sz w:val="24"/>
          <w:szCs w:val="24"/>
          <w:lang w:val="fr-FR"/>
        </w:rPr>
        <w:t>minimale et maximale.</w:t>
      </w:r>
    </w:p>
    <w:p w14:paraId="0595AD47" w14:textId="6906A449" w:rsidR="0053386B" w:rsidRPr="00683E32" w:rsidRDefault="0053386B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lang w:val="fr-FR"/>
        </w:rPr>
        <w:t>Résultats</w:t>
      </w:r>
      <w:r w:rsidR="004B5167" w:rsidRPr="00683E32">
        <w:rPr>
          <w:rFonts w:ascii="Arial" w:hAnsi="Arial" w:cs="Arial"/>
          <w:sz w:val="24"/>
          <w:szCs w:val="24"/>
          <w:lang w:val="fr-FR"/>
        </w:rPr>
        <w:t xml:space="preserve"> :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Les résultats préliminaires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chez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participants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jeunes et </w:t>
      </w:r>
      <w:r w:rsidRPr="00683E32">
        <w:rPr>
          <w:rFonts w:ascii="Arial" w:hAnsi="Arial" w:cs="Arial"/>
          <w:sz w:val="24"/>
          <w:szCs w:val="24"/>
          <w:lang w:val="fr-FR"/>
        </w:rPr>
        <w:t>en bonne santé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 (n=5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) montrent que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la distance minimale de dégagement </w:t>
      </w:r>
      <w:r w:rsidRPr="00683E32">
        <w:rPr>
          <w:rFonts w:ascii="Arial" w:hAnsi="Arial" w:cs="Arial"/>
          <w:sz w:val="24"/>
          <w:szCs w:val="24"/>
          <w:lang w:val="fr-FR"/>
        </w:rPr>
        <w:t>était de 0,83±0,10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m pour la démarche neutre, 0,93±0,15 m pour la démarche en colère, 0,90±0,12 m pour la démarche heureuse et 0,94±0,16 m pour la démarche triste. La vitesse de pointe des participants était de 1,07±0,19 m.s-1 pour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la condition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neutre, 1,15±0,19 m.s-1 pour la colère, 1,10±0,17 m.s-1 pour la joie et 1,05±0,15 m.s-1 pour la tristesse. La vitesse minimale était de 0,71±0,19 m.s-1 pour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la condition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neutre, 0,63±0,29 m.s-1 pour la colère, 0,70±0,28 m.s-1 pour la joie et 0,65±0,20 m.s-1 pour la tristesse.</w:t>
      </w:r>
    </w:p>
    <w:p w14:paraId="23556418" w14:textId="633768F2" w:rsidR="006C2B2A" w:rsidRPr="00683E32" w:rsidRDefault="0053386B" w:rsidP="004B5167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683E32">
        <w:rPr>
          <w:rFonts w:ascii="Arial" w:hAnsi="Arial" w:cs="Arial"/>
          <w:sz w:val="24"/>
          <w:szCs w:val="24"/>
          <w:lang w:val="fr-FR"/>
        </w:rPr>
        <w:t>Conclusion</w:t>
      </w:r>
      <w:r w:rsidR="004B5167" w:rsidRPr="00683E32">
        <w:rPr>
          <w:rFonts w:ascii="Arial" w:hAnsi="Arial" w:cs="Arial"/>
          <w:sz w:val="24"/>
          <w:szCs w:val="24"/>
          <w:lang w:val="fr-FR"/>
        </w:rPr>
        <w:t xml:space="preserve"> :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Nos résultats préliminaires montrent une plus grande distance de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dégagement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et une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vitesse d’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approche plus lente lorsqu'il s'agit d'éviter un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HV triste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. De plus, la différence de vitesse maximale et minimale était plus importante pour les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HV 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en colère que pour les autres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conditions </w:t>
      </w:r>
      <w:r w:rsidRPr="00683E32">
        <w:rPr>
          <w:rFonts w:ascii="Arial" w:hAnsi="Arial" w:cs="Arial"/>
          <w:sz w:val="24"/>
          <w:szCs w:val="24"/>
          <w:lang w:val="fr-FR"/>
        </w:rPr>
        <w:t>émotionnel</w:t>
      </w:r>
      <w:r w:rsidR="008F3BCF" w:rsidRPr="00683E32">
        <w:rPr>
          <w:rFonts w:ascii="Arial" w:hAnsi="Arial" w:cs="Arial"/>
          <w:sz w:val="24"/>
          <w:szCs w:val="24"/>
          <w:lang w:val="fr-FR"/>
        </w:rPr>
        <w:t>le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s. </w:t>
      </w:r>
      <w:r w:rsidR="007315E7" w:rsidRPr="00683E32">
        <w:rPr>
          <w:rFonts w:ascii="Arial" w:hAnsi="Arial" w:cs="Arial"/>
          <w:sz w:val="24"/>
          <w:szCs w:val="24"/>
          <w:lang w:val="fr-FR"/>
        </w:rPr>
        <w:t xml:space="preserve">Collectivement, ces résultats suggèrent une modulation des stratégies locomotrices de contournement en fonction des émotions démontrées par les individus à éviter. </w:t>
      </w:r>
      <w:r w:rsidR="008F3BCF" w:rsidRPr="00683E32">
        <w:rPr>
          <w:rFonts w:ascii="Arial" w:hAnsi="Arial" w:cs="Arial"/>
          <w:sz w:val="24"/>
          <w:szCs w:val="24"/>
          <w:lang w:val="fr-FR"/>
        </w:rPr>
        <w:t xml:space="preserve">Nos </w:t>
      </w:r>
      <w:r w:rsidRPr="00683E32">
        <w:rPr>
          <w:rFonts w:ascii="Arial" w:hAnsi="Arial" w:cs="Arial"/>
          <w:sz w:val="24"/>
          <w:szCs w:val="24"/>
          <w:lang w:val="fr-FR"/>
        </w:rPr>
        <w:t>travaux futurs porter</w:t>
      </w:r>
      <w:r w:rsidR="008F3BCF" w:rsidRPr="00683E32">
        <w:rPr>
          <w:rFonts w:ascii="Arial" w:hAnsi="Arial" w:cs="Arial"/>
          <w:sz w:val="24"/>
          <w:szCs w:val="24"/>
          <w:lang w:val="fr-FR"/>
        </w:rPr>
        <w:t>ont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sur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d</w:t>
      </w:r>
      <w:r w:rsidRPr="00683E32">
        <w:rPr>
          <w:rFonts w:ascii="Arial" w:hAnsi="Arial" w:cs="Arial"/>
          <w:sz w:val="24"/>
          <w:szCs w:val="24"/>
          <w:lang w:val="fr-FR"/>
        </w:rPr>
        <w:t>es populations présentant des déficits connus de reconnaissance des émotions</w:t>
      </w:r>
      <w:r w:rsidR="008F3BCF" w:rsidRPr="00683E32">
        <w:rPr>
          <w:rFonts w:ascii="Arial" w:hAnsi="Arial" w:cs="Arial"/>
          <w:sz w:val="24"/>
          <w:szCs w:val="24"/>
          <w:lang w:val="fr-FR"/>
        </w:rPr>
        <w:t>, tel que les personnes</w:t>
      </w:r>
      <w:r w:rsidRPr="00683E32">
        <w:rPr>
          <w:rFonts w:ascii="Arial" w:hAnsi="Arial" w:cs="Arial"/>
          <w:sz w:val="24"/>
          <w:szCs w:val="24"/>
          <w:lang w:val="fr-FR"/>
        </w:rPr>
        <w:t xml:space="preserve"> </w:t>
      </w:r>
      <w:r w:rsidR="008F3BCF" w:rsidRPr="00683E32">
        <w:rPr>
          <w:rFonts w:ascii="Arial" w:hAnsi="Arial" w:cs="Arial"/>
          <w:sz w:val="24"/>
          <w:szCs w:val="24"/>
          <w:lang w:val="fr-FR"/>
        </w:rPr>
        <w:t>ayant un TCCm</w:t>
      </w:r>
      <w:r w:rsidR="008F3BCF" w:rsidRPr="00683E32">
        <w:rPr>
          <w:rFonts w:ascii="Arial" w:hAnsi="Arial" w:cs="Arial"/>
          <w:sz w:val="24"/>
          <w:szCs w:val="24"/>
          <w:lang w:val="fr-CA"/>
        </w:rPr>
        <w:t xml:space="preserve">/s, </w:t>
      </w:r>
      <w:r w:rsidRPr="00683E32">
        <w:rPr>
          <w:rFonts w:ascii="Arial" w:hAnsi="Arial" w:cs="Arial"/>
          <w:sz w:val="24"/>
          <w:szCs w:val="24"/>
          <w:lang w:val="fr-FR"/>
        </w:rPr>
        <w:t>et sur leurs effets sur l</w:t>
      </w:r>
      <w:r w:rsidR="007315E7" w:rsidRPr="00683E32">
        <w:rPr>
          <w:rFonts w:ascii="Arial" w:hAnsi="Arial" w:cs="Arial"/>
          <w:sz w:val="24"/>
          <w:szCs w:val="24"/>
          <w:lang w:val="fr-FR"/>
        </w:rPr>
        <w:t>es interactions piétonnes.</w:t>
      </w:r>
    </w:p>
    <w:sectPr w:rsidR="006C2B2A" w:rsidRPr="00683E32" w:rsidSect="00D9289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6B"/>
    <w:rsid w:val="00025E2B"/>
    <w:rsid w:val="003B051F"/>
    <w:rsid w:val="004B5167"/>
    <w:rsid w:val="0053386B"/>
    <w:rsid w:val="00572A10"/>
    <w:rsid w:val="00683E32"/>
    <w:rsid w:val="006C2B2A"/>
    <w:rsid w:val="007315E7"/>
    <w:rsid w:val="008F3BCF"/>
    <w:rsid w:val="009E6AAE"/>
    <w:rsid w:val="00D92897"/>
    <w:rsid w:val="00E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1C7"/>
  <w15:chartTrackingRefBased/>
  <w15:docId w15:val="{1BE64C3C-B2D5-4815-B143-5D119653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5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en-US"/>
    </w:rPr>
  </w:style>
  <w:style w:type="character" w:customStyle="1" w:styleId="TitreCar">
    <w:name w:val="Titre Car"/>
    <w:basedOn w:val="Policepardfaut"/>
    <w:link w:val="Titre"/>
    <w:uiPriority w:val="10"/>
    <w:rsid w:val="004B5167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4B51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Dean Lynch, Dr</dc:creator>
  <cp:keywords/>
  <dc:description/>
  <cp:lastModifiedBy>Mélanie Beauregard</cp:lastModifiedBy>
  <cp:revision>7</cp:revision>
  <dcterms:created xsi:type="dcterms:W3CDTF">2020-10-19T13:44:00Z</dcterms:created>
  <dcterms:modified xsi:type="dcterms:W3CDTF">2020-10-20T15:47:00Z</dcterms:modified>
</cp:coreProperties>
</file>