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A7E99" w14:textId="77777777" w:rsidR="00A8795E" w:rsidRDefault="00A8795E" w:rsidP="002C1434">
      <w:pPr>
        <w:pStyle w:val="Titre"/>
        <w:rPr>
          <w:rStyle w:val="lev"/>
          <w:rFonts w:eastAsia="Times New Roman"/>
          <w:color w:val="003366"/>
        </w:rPr>
      </w:pPr>
    </w:p>
    <w:p w14:paraId="698A28A2" w14:textId="77777777" w:rsidR="00230910" w:rsidRDefault="00C1316E" w:rsidP="00230910">
      <w:pPr>
        <w:pStyle w:val="Titre"/>
        <w:rPr>
          <w:rStyle w:val="lev"/>
          <w:rFonts w:eastAsia="Times New Roman"/>
          <w:bCs w:val="0"/>
          <w:color w:val="003366"/>
        </w:rPr>
      </w:pPr>
      <w:r w:rsidRPr="00BB38B6">
        <w:rPr>
          <w:rStyle w:val="lev"/>
          <w:rFonts w:eastAsia="Times New Roman"/>
          <w:bCs w:val="0"/>
          <w:color w:val="003366"/>
        </w:rPr>
        <w:t>Droits et handicap au Québec, au Canada et aux Nations unies : quels impacts locaux?</w:t>
      </w:r>
      <w:r w:rsidR="00230910">
        <w:rPr>
          <w:rStyle w:val="lev"/>
          <w:rFonts w:eastAsia="Times New Roman"/>
          <w:bCs w:val="0"/>
          <w:color w:val="003366"/>
        </w:rPr>
        <w:t xml:space="preserve"> </w:t>
      </w:r>
    </w:p>
    <w:p w14:paraId="3375F128" w14:textId="77777777" w:rsidR="00230910" w:rsidRDefault="00230910" w:rsidP="00230910">
      <w:pPr>
        <w:pStyle w:val="Titre"/>
        <w:rPr>
          <w:rStyle w:val="lev"/>
          <w:rFonts w:eastAsia="Times New Roman"/>
          <w:bCs w:val="0"/>
          <w:color w:val="003366"/>
        </w:rPr>
      </w:pPr>
    </w:p>
    <w:p w14:paraId="782D2B7F" w14:textId="4EB16944" w:rsidR="00230910" w:rsidRPr="00230910" w:rsidRDefault="00230910" w:rsidP="00230910">
      <w:pPr>
        <w:pStyle w:val="Titre"/>
        <w:rPr>
          <w:rFonts w:eastAsia="Times New Roman"/>
          <w:b/>
          <w:color w:val="003366"/>
        </w:rPr>
      </w:pPr>
      <w:r>
        <w:rPr>
          <w:rStyle w:val="lev"/>
          <w:rFonts w:eastAsia="Times New Roman"/>
          <w:bCs w:val="0"/>
          <w:color w:val="003366"/>
        </w:rPr>
        <w:t>Document de référence</w:t>
      </w:r>
    </w:p>
    <w:p w14:paraId="4DC15529" w14:textId="77777777" w:rsidR="00230910" w:rsidRPr="00230910" w:rsidRDefault="00230910" w:rsidP="00230910"/>
    <w:p w14:paraId="1071050B" w14:textId="639A20B3" w:rsidR="00C1316E" w:rsidRPr="008316A5" w:rsidRDefault="00BD3F2F" w:rsidP="00C1316E">
      <w:pPr>
        <w:rPr>
          <w:b/>
        </w:rPr>
      </w:pPr>
      <w:r w:rsidRPr="00BD3F2F">
        <w:rPr>
          <w:b/>
        </w:rPr>
        <w:t>Table des matières</w:t>
      </w:r>
    </w:p>
    <w:p w14:paraId="38878BCA" w14:textId="4AC1FAA1" w:rsidR="00BD3F2F" w:rsidRPr="002C1434" w:rsidRDefault="0009385B" w:rsidP="002C1434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hyperlink w:anchor="_1-_Voici_quelques" w:history="1">
        <w:r w:rsidR="007B161C">
          <w:rPr>
            <w:rStyle w:val="Hyperlien"/>
            <w:rFonts w:ascii="Arial" w:hAnsi="Arial" w:cs="Arial"/>
          </w:rPr>
          <w:t>Principes de base en d</w:t>
        </w:r>
        <w:r w:rsidR="00BD3F2F" w:rsidRPr="002C1434">
          <w:rPr>
            <w:rStyle w:val="Hyperlien"/>
            <w:rFonts w:ascii="Arial" w:hAnsi="Arial" w:cs="Arial"/>
          </w:rPr>
          <w:t>roit international</w:t>
        </w:r>
      </w:hyperlink>
    </w:p>
    <w:p w14:paraId="0715D61A" w14:textId="6979FD60" w:rsidR="002C1434" w:rsidRPr="002C1434" w:rsidRDefault="0009385B" w:rsidP="002C1434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hyperlink w:anchor="_2-_Convention_relative" w:history="1">
        <w:r w:rsidR="00BD3F2F" w:rsidRPr="002C1434">
          <w:rPr>
            <w:rStyle w:val="Hyperlien"/>
            <w:rFonts w:ascii="Arial" w:hAnsi="Arial" w:cs="Arial"/>
          </w:rPr>
          <w:t>La Convention et le Protocole facultatif</w:t>
        </w:r>
      </w:hyperlink>
    </w:p>
    <w:p w14:paraId="70DFA326" w14:textId="77777777" w:rsidR="002C1434" w:rsidRPr="002C1434" w:rsidRDefault="0009385B" w:rsidP="00C1316E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hyperlink w:anchor="_3-_Les_documents" w:history="1">
        <w:r w:rsidR="002C1434" w:rsidRPr="002C1434">
          <w:rPr>
            <w:rStyle w:val="Hyperlien"/>
            <w:rFonts w:ascii="Arial" w:hAnsi="Arial" w:cs="Arial"/>
          </w:rPr>
          <w:t>Lois et autres documents au fédéral</w:t>
        </w:r>
      </w:hyperlink>
    </w:p>
    <w:p w14:paraId="0F965F06" w14:textId="421BCBDF" w:rsidR="002C1434" w:rsidRDefault="0009385B" w:rsidP="002C1434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hyperlink w:anchor="_4-_Les_documents" w:history="1">
        <w:r w:rsidR="002C1434" w:rsidRPr="002C1434">
          <w:rPr>
            <w:rStyle w:val="Hyperlien"/>
            <w:rFonts w:ascii="Arial" w:hAnsi="Arial" w:cs="Arial"/>
          </w:rPr>
          <w:t>Lois et autres documents au provincial (Québec)</w:t>
        </w:r>
      </w:hyperlink>
    </w:p>
    <w:p w14:paraId="3F690C18" w14:textId="77777777" w:rsidR="008316A5" w:rsidRPr="008316A5" w:rsidRDefault="008316A5" w:rsidP="008316A5">
      <w:pPr>
        <w:pStyle w:val="Paragraphedeliste"/>
        <w:rPr>
          <w:rFonts w:ascii="Arial" w:hAnsi="Arial" w:cs="Arial"/>
        </w:rPr>
      </w:pPr>
    </w:p>
    <w:p w14:paraId="5ADB3F86" w14:textId="3C9AD5AA" w:rsidR="00C1316E" w:rsidRPr="008058C9" w:rsidRDefault="00BD3F2F" w:rsidP="00BD3F2F">
      <w:pPr>
        <w:pStyle w:val="Titre1"/>
      </w:pPr>
      <w:bookmarkStart w:id="0" w:name="_1-_Voici_quelques"/>
      <w:bookmarkEnd w:id="0"/>
      <w:r>
        <w:t xml:space="preserve">1- </w:t>
      </w:r>
      <w:r w:rsidR="00C1316E" w:rsidRPr="008058C9">
        <w:t xml:space="preserve">Voici quelques principes de base </w:t>
      </w:r>
      <w:r w:rsidR="0033568B" w:rsidRPr="008058C9">
        <w:t xml:space="preserve">à garder en tête </w:t>
      </w:r>
      <w:r w:rsidR="00C1316E" w:rsidRPr="008058C9">
        <w:t>pour une meilleure compréhension du droit international :</w:t>
      </w:r>
    </w:p>
    <w:p w14:paraId="12D57628" w14:textId="07C00F20" w:rsidR="00C1316E" w:rsidRPr="008316A5" w:rsidRDefault="00C1316E" w:rsidP="008316A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1316E">
        <w:rPr>
          <w:rFonts w:ascii="Arial" w:hAnsi="Arial" w:cs="Arial"/>
        </w:rPr>
        <w:t xml:space="preserve">Le principe </w:t>
      </w:r>
      <w:proofErr w:type="gramStart"/>
      <w:r w:rsidRPr="00C1316E">
        <w:rPr>
          <w:rFonts w:ascii="Arial" w:hAnsi="Arial" w:cs="Arial"/>
        </w:rPr>
        <w:t>d’</w:t>
      </w:r>
      <w:r w:rsidR="006235A3">
        <w:rPr>
          <w:rFonts w:ascii="Arial" w:hAnsi="Arial" w:cs="Arial"/>
        </w:rPr>
        <w:t> «</w:t>
      </w:r>
      <w:proofErr w:type="gramEnd"/>
      <w:r w:rsidR="006235A3">
        <w:rPr>
          <w:rFonts w:ascii="Arial" w:hAnsi="Arial" w:cs="Arial"/>
        </w:rPr>
        <w:t> </w:t>
      </w:r>
      <w:proofErr w:type="spellStart"/>
      <w:r w:rsidRPr="00C1316E">
        <w:rPr>
          <w:rFonts w:ascii="Arial" w:hAnsi="Arial" w:cs="Arial"/>
        </w:rPr>
        <w:t>interlégalité</w:t>
      </w:r>
      <w:proofErr w:type="spellEnd"/>
      <w:r w:rsidR="006235A3">
        <w:rPr>
          <w:rFonts w:ascii="Arial" w:hAnsi="Arial" w:cs="Arial"/>
        </w:rPr>
        <w:t> »</w:t>
      </w:r>
      <w:r w:rsidRPr="00C1316E">
        <w:rPr>
          <w:rFonts w:ascii="Arial" w:hAnsi="Arial" w:cs="Arial"/>
        </w:rPr>
        <w:t xml:space="preserve"> ou de </w:t>
      </w:r>
      <w:r w:rsidR="006235A3">
        <w:rPr>
          <w:rFonts w:ascii="Arial" w:hAnsi="Arial" w:cs="Arial"/>
        </w:rPr>
        <w:t>« </w:t>
      </w:r>
      <w:r w:rsidRPr="00C1316E">
        <w:rPr>
          <w:rFonts w:ascii="Arial" w:hAnsi="Arial" w:cs="Arial"/>
        </w:rPr>
        <w:t>perméabilité normative</w:t>
      </w:r>
      <w:r w:rsidR="006235A3">
        <w:rPr>
          <w:rFonts w:ascii="Arial" w:hAnsi="Arial" w:cs="Arial"/>
        </w:rPr>
        <w:t> »</w:t>
      </w:r>
      <w:r w:rsidRPr="00C1316E">
        <w:rPr>
          <w:rFonts w:ascii="Arial" w:hAnsi="Arial" w:cs="Arial"/>
        </w:rPr>
        <w:t xml:space="preserve"> (opposition entre le droit international et le droit interne)</w:t>
      </w:r>
      <w:r w:rsidR="006235A3">
        <w:rPr>
          <w:rFonts w:ascii="Arial" w:hAnsi="Arial" w:cs="Arial"/>
        </w:rPr>
        <w:t>.</w:t>
      </w:r>
    </w:p>
    <w:p w14:paraId="7850DD62" w14:textId="1B2223B1" w:rsidR="008316A5" w:rsidRPr="008316A5" w:rsidRDefault="00C1316E" w:rsidP="008316A5">
      <w:pPr>
        <w:pStyle w:val="Paragraphedeliste"/>
        <w:numPr>
          <w:ilvl w:val="0"/>
          <w:numId w:val="2"/>
        </w:numPr>
        <w:ind w:left="714" w:hanging="357"/>
        <w:rPr>
          <w:rFonts w:cs="Arial"/>
        </w:rPr>
      </w:pPr>
      <w:r w:rsidRPr="008316A5">
        <w:rPr>
          <w:rFonts w:ascii="Arial" w:hAnsi="Arial" w:cs="Arial"/>
        </w:rPr>
        <w:t xml:space="preserve">Le principe de </w:t>
      </w:r>
      <w:r w:rsidR="00E26BB5">
        <w:rPr>
          <w:rFonts w:ascii="Arial" w:hAnsi="Arial" w:cs="Arial"/>
        </w:rPr>
        <w:t>« </w:t>
      </w:r>
      <w:r w:rsidRPr="008316A5">
        <w:rPr>
          <w:rFonts w:ascii="Arial" w:hAnsi="Arial" w:cs="Arial"/>
        </w:rPr>
        <w:t>non-ingérence</w:t>
      </w:r>
      <w:r w:rsidR="00E26BB5">
        <w:rPr>
          <w:rFonts w:ascii="Arial" w:hAnsi="Arial" w:cs="Arial"/>
        </w:rPr>
        <w:t> »</w:t>
      </w:r>
      <w:r w:rsidRPr="008316A5">
        <w:rPr>
          <w:rFonts w:ascii="Arial" w:hAnsi="Arial" w:cs="Arial"/>
        </w:rPr>
        <w:t xml:space="preserve"> ou </w:t>
      </w:r>
      <w:r w:rsidR="00E26BB5">
        <w:rPr>
          <w:rFonts w:ascii="Arial" w:hAnsi="Arial" w:cs="Arial"/>
        </w:rPr>
        <w:t>« </w:t>
      </w:r>
      <w:r w:rsidRPr="008316A5">
        <w:rPr>
          <w:rFonts w:ascii="Arial" w:hAnsi="Arial" w:cs="Arial"/>
        </w:rPr>
        <w:t>d’ensembles non-</w:t>
      </w:r>
      <w:proofErr w:type="spellStart"/>
      <w:r w:rsidRPr="008316A5">
        <w:rPr>
          <w:rFonts w:ascii="Arial" w:hAnsi="Arial" w:cs="Arial"/>
        </w:rPr>
        <w:t>intersectants</w:t>
      </w:r>
      <w:proofErr w:type="spellEnd"/>
      <w:r w:rsidR="00E26BB5">
        <w:rPr>
          <w:rFonts w:ascii="Arial" w:hAnsi="Arial" w:cs="Arial"/>
        </w:rPr>
        <w:t> »</w:t>
      </w:r>
      <w:r w:rsidRPr="008316A5">
        <w:rPr>
          <w:rFonts w:ascii="Arial" w:hAnsi="Arial" w:cs="Arial"/>
        </w:rPr>
        <w:t xml:space="preserve"> (</w:t>
      </w:r>
      <w:r w:rsidR="006235A3">
        <w:rPr>
          <w:rFonts w:ascii="Arial" w:hAnsi="Arial" w:cs="Arial"/>
        </w:rPr>
        <w:t>en vertu du</w:t>
      </w:r>
      <w:r w:rsidRPr="008316A5">
        <w:rPr>
          <w:rFonts w:ascii="Arial" w:hAnsi="Arial" w:cs="Arial"/>
        </w:rPr>
        <w:t xml:space="preserve"> traité de Westphalie de 1648</w:t>
      </w:r>
      <w:r w:rsidR="008316A5" w:rsidRPr="008316A5">
        <w:rPr>
          <w:rFonts w:ascii="Arial" w:hAnsi="Arial" w:cs="Arial"/>
        </w:rPr>
        <w:t>)</w:t>
      </w:r>
      <w:r w:rsidR="006235A3">
        <w:rPr>
          <w:rFonts w:ascii="Arial" w:hAnsi="Arial" w:cs="Arial"/>
        </w:rPr>
        <w:t>.</w:t>
      </w:r>
      <w:r w:rsidRPr="008316A5">
        <w:rPr>
          <w:rFonts w:ascii="Arial" w:hAnsi="Arial" w:cs="Arial"/>
        </w:rPr>
        <w:t xml:space="preserve"> </w:t>
      </w:r>
    </w:p>
    <w:p w14:paraId="34606977" w14:textId="63542C23" w:rsidR="00FA2545" w:rsidRPr="008316A5" w:rsidRDefault="00C1316E" w:rsidP="008316A5">
      <w:pPr>
        <w:pStyle w:val="Paragraphedeliste"/>
        <w:numPr>
          <w:ilvl w:val="0"/>
          <w:numId w:val="2"/>
        </w:numPr>
        <w:ind w:left="714" w:hanging="357"/>
        <w:rPr>
          <w:rFonts w:cs="Arial"/>
        </w:rPr>
      </w:pPr>
      <w:r w:rsidRPr="00C1316E">
        <w:rPr>
          <w:rFonts w:ascii="Arial" w:hAnsi="Arial" w:cs="Arial"/>
        </w:rPr>
        <w:t>Importance</w:t>
      </w:r>
      <w:r w:rsidR="00FA2545">
        <w:rPr>
          <w:rFonts w:ascii="Arial" w:hAnsi="Arial" w:cs="Arial"/>
        </w:rPr>
        <w:t xml:space="preserve"> de la thèse </w:t>
      </w:r>
      <w:r w:rsidR="00E26BB5">
        <w:rPr>
          <w:rFonts w:ascii="Arial" w:hAnsi="Arial" w:cs="Arial"/>
        </w:rPr>
        <w:t>« </w:t>
      </w:r>
      <w:r w:rsidR="00FA2545">
        <w:rPr>
          <w:rFonts w:ascii="Arial" w:hAnsi="Arial" w:cs="Arial"/>
        </w:rPr>
        <w:t>volontariste</w:t>
      </w:r>
      <w:r w:rsidR="00E26BB5">
        <w:rPr>
          <w:rFonts w:ascii="Arial" w:hAnsi="Arial" w:cs="Arial"/>
        </w:rPr>
        <w:t> »</w:t>
      </w:r>
      <w:r w:rsidR="00FA2545">
        <w:rPr>
          <w:rFonts w:ascii="Arial" w:hAnsi="Arial" w:cs="Arial"/>
        </w:rPr>
        <w:t>, donc</w:t>
      </w:r>
      <w:r w:rsidRPr="00C1316E">
        <w:rPr>
          <w:rFonts w:ascii="Arial" w:hAnsi="Arial" w:cs="Arial"/>
        </w:rPr>
        <w:t xml:space="preserve"> de la bonne foi des États.</w:t>
      </w:r>
    </w:p>
    <w:p w14:paraId="436FAE69" w14:textId="3174CBEB" w:rsidR="008058C9" w:rsidRPr="008058C9" w:rsidRDefault="008316A5" w:rsidP="008058C9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058C9" w:rsidRPr="008058C9">
        <w:rPr>
          <w:rFonts w:ascii="Arial" w:hAnsi="Arial" w:cs="Arial"/>
        </w:rPr>
        <w:t xml:space="preserve">e droit international ne peut pas être contraignant pour les tribunaux de droit interne ou les </w:t>
      </w:r>
      <w:r w:rsidR="006235A3">
        <w:rPr>
          <w:rFonts w:ascii="Arial" w:hAnsi="Arial" w:cs="Arial"/>
        </w:rPr>
        <w:t>« </w:t>
      </w:r>
      <w:r w:rsidR="008058C9" w:rsidRPr="008058C9">
        <w:rPr>
          <w:rFonts w:ascii="Arial" w:hAnsi="Arial" w:cs="Arial"/>
        </w:rPr>
        <w:t>lier</w:t>
      </w:r>
      <w:r w:rsidR="006235A3">
        <w:rPr>
          <w:rFonts w:ascii="Arial" w:hAnsi="Arial" w:cs="Arial"/>
        </w:rPr>
        <w:t> »</w:t>
      </w:r>
      <w:r w:rsidR="008058C9" w:rsidRPr="008058C9">
        <w:rPr>
          <w:rFonts w:ascii="Arial" w:hAnsi="Arial" w:cs="Arial"/>
        </w:rPr>
        <w:t xml:space="preserve"> dans leur prise de décision.</w:t>
      </w:r>
    </w:p>
    <w:p w14:paraId="4F8C1896" w14:textId="2BB75E3C" w:rsidR="008058C9" w:rsidRPr="006235A3" w:rsidRDefault="006235A3" w:rsidP="006235A3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Mais il </w:t>
      </w:r>
      <w:r w:rsidR="008058C9">
        <w:rPr>
          <w:rFonts w:ascii="Arial" w:hAnsi="Arial" w:cs="Arial"/>
        </w:rPr>
        <w:t>p</w:t>
      </w:r>
      <w:r w:rsidR="008058C9" w:rsidRPr="008058C9">
        <w:rPr>
          <w:rFonts w:ascii="Arial" w:hAnsi="Arial" w:cs="Arial"/>
        </w:rPr>
        <w:t>roduit des effets en droit inter</w:t>
      </w:r>
      <w:r w:rsidR="004E1BC2">
        <w:rPr>
          <w:rFonts w:ascii="Arial" w:hAnsi="Arial" w:cs="Arial"/>
        </w:rPr>
        <w:t xml:space="preserve">ne, </w:t>
      </w:r>
      <w:r>
        <w:rPr>
          <w:rFonts w:ascii="Arial" w:hAnsi="Arial" w:cs="Arial"/>
        </w:rPr>
        <w:t>sans être</w:t>
      </w:r>
      <w:r w:rsidR="004E1BC2">
        <w:rPr>
          <w:rFonts w:ascii="Arial" w:hAnsi="Arial" w:cs="Arial"/>
        </w:rPr>
        <w:t xml:space="preserve"> contraignant;</w:t>
      </w:r>
    </w:p>
    <w:p w14:paraId="388579A6" w14:textId="37264B04" w:rsidR="008058C9" w:rsidRPr="008316A5" w:rsidRDefault="00BB38B6" w:rsidP="00C1316E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agit</w:t>
      </w:r>
      <w:r w:rsidR="006235A3">
        <w:rPr>
          <w:rFonts w:ascii="Arial" w:hAnsi="Arial" w:cs="Arial"/>
        </w:rPr>
        <w:t xml:space="preserve"> comme </w:t>
      </w:r>
      <w:r>
        <w:rPr>
          <w:rFonts w:ascii="Arial" w:hAnsi="Arial" w:cs="Arial"/>
        </w:rPr>
        <w:t>une a</w:t>
      </w:r>
      <w:r w:rsidR="008058C9" w:rsidRPr="008058C9">
        <w:rPr>
          <w:rFonts w:ascii="Arial" w:hAnsi="Arial" w:cs="Arial"/>
        </w:rPr>
        <w:t>utorité persuasive (élément pertinent et persuasif)</w:t>
      </w:r>
      <w:r w:rsidR="006235A3">
        <w:rPr>
          <w:rFonts w:ascii="Arial" w:hAnsi="Arial" w:cs="Arial"/>
        </w:rPr>
        <w:t>.</w:t>
      </w:r>
    </w:p>
    <w:p w14:paraId="11DD0B1F" w14:textId="77777777" w:rsidR="00927C3A" w:rsidRDefault="00927C3A" w:rsidP="00C1316E">
      <w:pPr>
        <w:rPr>
          <w:b/>
        </w:rPr>
      </w:pPr>
    </w:p>
    <w:p w14:paraId="041D2F49" w14:textId="77777777" w:rsidR="00FA2545" w:rsidRPr="008058C9" w:rsidRDefault="00FA2545" w:rsidP="00C1316E">
      <w:pPr>
        <w:rPr>
          <w:b/>
        </w:rPr>
      </w:pPr>
      <w:r w:rsidRPr="008058C9">
        <w:rPr>
          <w:b/>
        </w:rPr>
        <w:t>Pour plus d’information, lire :</w:t>
      </w:r>
    </w:p>
    <w:p w14:paraId="5A4C18BD" w14:textId="77777777" w:rsidR="00927C3A" w:rsidRPr="00726399" w:rsidRDefault="00C1316E" w:rsidP="00C1316E">
      <w:pPr>
        <w:rPr>
          <w:rFonts w:eastAsia="Times New Roman" w:cs="Times New Roman"/>
          <w:bdr w:val="none" w:sz="0" w:space="0" w:color="auto" w:frame="1"/>
        </w:rPr>
        <w:sectPr w:rsidR="00927C3A" w:rsidRPr="00726399" w:rsidSect="0072636E"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726399">
        <w:rPr>
          <w:rFonts w:eastAsia="Times New Roman" w:cs="Times New Roman"/>
          <w:bCs/>
          <w:bdr w:val="none" w:sz="0" w:space="0" w:color="auto" w:frame="1"/>
        </w:rPr>
        <w:t xml:space="preserve">« </w:t>
      </w:r>
      <w:hyperlink r:id="rId10" w:tooltip="Lien vers le PDF en ligne" w:history="1">
        <w:proofErr w:type="spellStart"/>
        <w:r w:rsidRPr="00726399">
          <w:rPr>
            <w:rStyle w:val="Hyperlien"/>
            <w:rFonts w:eastAsia="Times New Roman" w:cs="Times New Roman"/>
            <w:bCs/>
            <w:bdr w:val="none" w:sz="0" w:space="0" w:color="auto" w:frame="1"/>
          </w:rPr>
          <w:t>Interlégalité</w:t>
        </w:r>
        <w:proofErr w:type="spellEnd"/>
        <w:r w:rsidRPr="00726399">
          <w:rPr>
            <w:rStyle w:val="Hyperlien"/>
            <w:rFonts w:eastAsia="Times New Roman" w:cs="Times New Roman"/>
            <w:bCs/>
            <w:bdr w:val="none" w:sz="0" w:space="0" w:color="auto" w:frame="1"/>
          </w:rPr>
          <w:t xml:space="preserve"> et réception du droit international en droit interne canadien et québécois</w:t>
        </w:r>
      </w:hyperlink>
      <w:r w:rsidR="00927C3A" w:rsidRPr="00726399">
        <w:rPr>
          <w:rFonts w:eastAsia="Times New Roman" w:cs="Times New Roman"/>
          <w:bCs/>
          <w:i/>
          <w:bdr w:val="none" w:sz="0" w:space="0" w:color="auto" w:frame="1"/>
        </w:rPr>
        <w:t xml:space="preserve"> </w:t>
      </w:r>
      <w:r w:rsidRPr="00726399">
        <w:rPr>
          <w:rFonts w:eastAsia="Times New Roman" w:cs="Times New Roman"/>
          <w:bdr w:val="none" w:sz="0" w:space="0" w:color="auto" w:frame="1"/>
        </w:rPr>
        <w:t xml:space="preserve">», dans S. </w:t>
      </w:r>
      <w:proofErr w:type="spellStart"/>
      <w:r w:rsidRPr="00726399">
        <w:rPr>
          <w:rFonts w:eastAsia="Times New Roman" w:cs="Times New Roman"/>
          <w:bdr w:val="none" w:sz="0" w:space="0" w:color="auto" w:frame="1"/>
        </w:rPr>
        <w:t>Beaulac</w:t>
      </w:r>
      <w:proofErr w:type="spellEnd"/>
      <w:r w:rsidRPr="00726399">
        <w:rPr>
          <w:rFonts w:eastAsia="Times New Roman" w:cs="Times New Roman"/>
          <w:bdr w:val="none" w:sz="0" w:space="0" w:color="auto" w:frame="1"/>
        </w:rPr>
        <w:t xml:space="preserve"> &amp; J.-F. </w:t>
      </w:r>
      <w:proofErr w:type="spellStart"/>
      <w:r w:rsidRPr="00726399">
        <w:rPr>
          <w:rFonts w:eastAsia="Times New Roman" w:cs="Times New Roman"/>
          <w:bdr w:val="none" w:sz="0" w:space="0" w:color="auto" w:frame="1"/>
        </w:rPr>
        <w:t>Gaudreault-DesBiens</w:t>
      </w:r>
      <w:proofErr w:type="spellEnd"/>
      <w:r w:rsidRPr="00726399">
        <w:rPr>
          <w:rFonts w:eastAsia="Times New Roman" w:cs="Times New Roman"/>
          <w:bdr w:val="none" w:sz="0" w:space="0" w:color="auto" w:frame="1"/>
        </w:rPr>
        <w:t xml:space="preserve"> (</w:t>
      </w:r>
      <w:proofErr w:type="spellStart"/>
      <w:r w:rsidRPr="00726399">
        <w:rPr>
          <w:rFonts w:eastAsia="Times New Roman" w:cs="Times New Roman"/>
          <w:bdr w:val="none" w:sz="0" w:space="0" w:color="auto" w:frame="1"/>
        </w:rPr>
        <w:t>dir</w:t>
      </w:r>
      <w:proofErr w:type="spellEnd"/>
      <w:r w:rsidRPr="00726399">
        <w:rPr>
          <w:rFonts w:eastAsia="Times New Roman" w:cs="Times New Roman"/>
          <w:bdr w:val="none" w:sz="0" w:space="0" w:color="auto" w:frame="1"/>
        </w:rPr>
        <w:t>.), </w:t>
      </w:r>
      <w:proofErr w:type="spellStart"/>
      <w:r w:rsidRPr="00726399">
        <w:rPr>
          <w:rFonts w:eastAsia="Times New Roman" w:cs="Times New Roman"/>
          <w:i/>
          <w:iCs/>
          <w:bdr w:val="none" w:sz="0" w:space="0" w:color="auto" w:frame="1"/>
        </w:rPr>
        <w:t>JurisClasseur</w:t>
      </w:r>
      <w:proofErr w:type="spellEnd"/>
      <w:r w:rsidRPr="00726399">
        <w:rPr>
          <w:rFonts w:eastAsia="Times New Roman" w:cs="Times New Roman"/>
          <w:i/>
          <w:iCs/>
          <w:bdr w:val="none" w:sz="0" w:space="0" w:color="auto" w:frame="1"/>
        </w:rPr>
        <w:t xml:space="preserve"> – Droit constitutionnel</w:t>
      </w:r>
      <w:r w:rsidRPr="00726399">
        <w:rPr>
          <w:rFonts w:eastAsia="Times New Roman" w:cs="Times New Roman"/>
          <w:bdr w:val="none" w:sz="0" w:space="0" w:color="auto" w:frame="1"/>
        </w:rPr>
        <w:t xml:space="preserve">, Montréal : </w:t>
      </w:r>
      <w:proofErr w:type="spellStart"/>
      <w:r w:rsidRPr="00726399">
        <w:rPr>
          <w:rFonts w:eastAsia="Times New Roman" w:cs="Times New Roman"/>
          <w:bdr w:val="none" w:sz="0" w:space="0" w:color="auto" w:frame="1"/>
        </w:rPr>
        <w:t>LexisNexis</w:t>
      </w:r>
      <w:proofErr w:type="spellEnd"/>
      <w:r w:rsidRPr="00726399">
        <w:rPr>
          <w:rFonts w:eastAsia="Times New Roman" w:cs="Times New Roman"/>
          <w:bdr w:val="none" w:sz="0" w:space="0" w:color="auto" w:frame="1"/>
        </w:rPr>
        <w:t>, 2011, 23/1-2</w:t>
      </w:r>
      <w:bookmarkStart w:id="1" w:name="_GoBack"/>
      <w:bookmarkEnd w:id="1"/>
      <w:r w:rsidRPr="00726399">
        <w:rPr>
          <w:rFonts w:eastAsia="Times New Roman" w:cs="Times New Roman"/>
          <w:bdr w:val="none" w:sz="0" w:space="0" w:color="auto" w:frame="1"/>
        </w:rPr>
        <w:t>3/118</w:t>
      </w:r>
    </w:p>
    <w:p w14:paraId="3550B969" w14:textId="4637535B" w:rsidR="00BB38B6" w:rsidRDefault="00BD3F2F" w:rsidP="00BD3F2F">
      <w:pPr>
        <w:pStyle w:val="Titre1"/>
      </w:pPr>
      <w:bookmarkStart w:id="2" w:name="_2-_Convention_relative"/>
      <w:bookmarkEnd w:id="2"/>
      <w:r>
        <w:lastRenderedPageBreak/>
        <w:t xml:space="preserve">2- </w:t>
      </w:r>
      <w:r w:rsidR="00BB38B6" w:rsidRPr="001B04DA">
        <w:t>Convention relative aux droits des personnes handicapées</w:t>
      </w:r>
      <w:r w:rsidR="00BB38B6">
        <w:t xml:space="preserve"> (CDPH) e</w:t>
      </w:r>
      <w:r w:rsidR="00BB38B6" w:rsidRPr="001B04DA">
        <w:t xml:space="preserve">t le Protocole </w:t>
      </w:r>
      <w:r w:rsidR="00E26BB5">
        <w:t>f</w:t>
      </w:r>
      <w:r w:rsidR="00BB38B6" w:rsidRPr="001B04DA">
        <w:t>acultatif (PF)</w:t>
      </w:r>
      <w:r w:rsidR="00BB38B6">
        <w:t xml:space="preserve"> – 33 articles</w:t>
      </w:r>
    </w:p>
    <w:p w14:paraId="10ED1693" w14:textId="45E80D36" w:rsidR="00BB38B6" w:rsidRPr="00F56F08" w:rsidRDefault="00BB38B6" w:rsidP="00BB38B6">
      <w:pPr>
        <w:rPr>
          <w:rFonts w:cs="Arial"/>
          <w:b/>
          <w:color w:val="000000"/>
        </w:rPr>
      </w:pPr>
      <w:r w:rsidRPr="00F56F08">
        <w:rPr>
          <w:rFonts w:cs="Arial"/>
          <w:b/>
          <w:color w:val="000000"/>
        </w:rPr>
        <w:t>L</w:t>
      </w:r>
      <w:r>
        <w:rPr>
          <w:rFonts w:cs="Arial"/>
          <w:b/>
          <w:color w:val="000000"/>
        </w:rPr>
        <w:t xml:space="preserve">es documents avec lesquels </w:t>
      </w:r>
      <w:r w:rsidRPr="00F56F08">
        <w:rPr>
          <w:rFonts w:cs="Arial"/>
          <w:b/>
          <w:color w:val="000000"/>
        </w:rPr>
        <w:t>travailler</w:t>
      </w:r>
      <w:r>
        <w:rPr>
          <w:rFonts w:cs="Arial"/>
          <w:b/>
          <w:color w:val="000000"/>
        </w:rPr>
        <w:t xml:space="preserve"> à l’international et concernant le handicap :</w:t>
      </w:r>
    </w:p>
    <w:p w14:paraId="7287C59D" w14:textId="188D3178" w:rsidR="00BB38B6" w:rsidRPr="00F56F08" w:rsidRDefault="0009385B" w:rsidP="00BB38B6">
      <w:pPr>
        <w:rPr>
          <w:rFonts w:eastAsia="Times New Roman" w:cs="Arial"/>
          <w:color w:val="222222"/>
          <w:shd w:val="clear" w:color="auto" w:fill="FFFFFF"/>
        </w:rPr>
      </w:pPr>
      <w:hyperlink r:id="rId11" w:tooltip="Hyperlien vers la Convention en français" w:history="1">
        <w:r w:rsidR="00BB38B6" w:rsidRPr="00E221C0">
          <w:rPr>
            <w:rStyle w:val="Hyperlien"/>
            <w:rFonts w:eastAsia="Times New Roman" w:cs="Arial"/>
            <w:shd w:val="clear" w:color="auto" w:fill="FFFFFF"/>
          </w:rPr>
          <w:t>La Convention relative aux droits de l'</w:t>
        </w:r>
        <w:r w:rsidR="00BB38B6" w:rsidRPr="00E221C0">
          <w:rPr>
            <w:rStyle w:val="Hyperlien"/>
            <w:rFonts w:eastAsia="Times New Roman" w:cs="Arial"/>
            <w:bCs/>
            <w:shd w:val="clear" w:color="auto" w:fill="FFFFFF"/>
          </w:rPr>
          <w:t>enfant</w:t>
        </w:r>
      </w:hyperlink>
      <w:r w:rsidR="00BB38B6" w:rsidRPr="00F56F08">
        <w:rPr>
          <w:rFonts w:eastAsia="Times New Roman" w:cs="Arial"/>
          <w:color w:val="222222"/>
          <w:shd w:val="clear" w:color="auto" w:fill="FFFFFF"/>
        </w:rPr>
        <w:t>;</w:t>
      </w:r>
    </w:p>
    <w:p w14:paraId="5DB50B6C" w14:textId="3A9D9535" w:rsidR="00BB38B6" w:rsidRPr="00F56F08" w:rsidRDefault="0009385B" w:rsidP="00BB38B6">
      <w:pPr>
        <w:rPr>
          <w:rFonts w:eastAsia="Times New Roman" w:cs="Arial"/>
          <w:color w:val="222222"/>
          <w:shd w:val="clear" w:color="auto" w:fill="FFFFFF"/>
        </w:rPr>
      </w:pPr>
      <w:hyperlink r:id="rId12" w:tooltip="Hyperlien vers le PDF de la Convention en français" w:history="1">
        <w:r w:rsidR="00BB38B6" w:rsidRPr="00E221C0">
          <w:rPr>
            <w:rStyle w:val="Hyperlien"/>
            <w:rFonts w:eastAsia="Times New Roman" w:cs="Arial"/>
            <w:shd w:val="clear" w:color="auto" w:fill="FFFFFF"/>
          </w:rPr>
          <w:t>La Convention relative aux droits des personnes handicapées</w:t>
        </w:r>
      </w:hyperlink>
      <w:r w:rsidR="00BB38B6">
        <w:rPr>
          <w:rFonts w:eastAsia="Times New Roman" w:cs="Arial"/>
          <w:color w:val="222222"/>
          <w:shd w:val="clear" w:color="auto" w:fill="FFFFFF"/>
        </w:rPr>
        <w:t>;</w:t>
      </w:r>
      <w:r w:rsidR="00BB38B6" w:rsidRPr="00F56F08">
        <w:rPr>
          <w:rFonts w:eastAsia="Times New Roman" w:cs="Arial"/>
          <w:color w:val="222222"/>
          <w:shd w:val="clear" w:color="auto" w:fill="FFFFFF"/>
        </w:rPr>
        <w:t xml:space="preserve"> </w:t>
      </w:r>
    </w:p>
    <w:p w14:paraId="058423F3" w14:textId="1E7789C1" w:rsidR="00BB38B6" w:rsidRPr="00F56F08" w:rsidRDefault="0009385B" w:rsidP="00BB38B6">
      <w:pPr>
        <w:rPr>
          <w:rFonts w:eastAsia="Times New Roman" w:cs="Arial"/>
          <w:color w:val="222222"/>
          <w:shd w:val="clear" w:color="auto" w:fill="FFFFFF"/>
        </w:rPr>
      </w:pPr>
      <w:hyperlink r:id="rId13" w:tooltip="Hyperlien vers le PDF de la Déclaration en français" w:history="1">
        <w:r w:rsidR="00BB38B6" w:rsidRPr="00E221C0">
          <w:rPr>
            <w:rStyle w:val="Hyperlien"/>
            <w:rFonts w:eastAsia="Times New Roman" w:cs="Arial"/>
            <w:shd w:val="clear" w:color="auto" w:fill="FFFFFF"/>
          </w:rPr>
          <w:t>La Déclaration universelle des droits de l’homme</w:t>
        </w:r>
      </w:hyperlink>
      <w:r w:rsidR="00BB38B6">
        <w:rPr>
          <w:rFonts w:eastAsia="Times New Roman" w:cs="Arial"/>
          <w:color w:val="222222"/>
          <w:shd w:val="clear" w:color="auto" w:fill="FFFFFF"/>
        </w:rPr>
        <w:t>;</w:t>
      </w:r>
    </w:p>
    <w:p w14:paraId="3963E277" w14:textId="715808A3" w:rsidR="00BB38B6" w:rsidRPr="00E221C0" w:rsidRDefault="00BB38B6" w:rsidP="00BB38B6">
      <w:pPr>
        <w:rPr>
          <w:rFonts w:eastAsia="Times New Roman" w:cs="Arial"/>
        </w:rPr>
      </w:pPr>
      <w:r w:rsidRPr="00F56F08">
        <w:rPr>
          <w:rFonts w:eastAsia="Times New Roman" w:cs="Arial"/>
          <w:color w:val="222222"/>
          <w:shd w:val="clear" w:color="auto" w:fill="FFFFFF"/>
        </w:rPr>
        <w:t xml:space="preserve">Mais </w:t>
      </w:r>
      <w:r w:rsidR="007B161C">
        <w:rPr>
          <w:rFonts w:eastAsia="Times New Roman" w:cs="Arial"/>
          <w:color w:val="222222"/>
          <w:shd w:val="clear" w:color="auto" w:fill="FFFFFF"/>
        </w:rPr>
        <w:t>aussi la</w:t>
      </w:r>
      <w:r w:rsidRPr="00F56F08">
        <w:rPr>
          <w:rFonts w:eastAsia="Times New Roman" w:cs="Arial"/>
          <w:color w:val="222222"/>
          <w:shd w:val="clear" w:color="auto" w:fill="FFFFFF"/>
        </w:rPr>
        <w:t xml:space="preserve"> </w:t>
      </w:r>
      <w:hyperlink r:id="rId14" w:tooltip="Hyperlien vers le PDF en français" w:history="1">
        <w:r w:rsidRPr="00E221C0">
          <w:rPr>
            <w:rStyle w:val="Hyperlien"/>
            <w:rFonts w:cs="Arial"/>
            <w:shd w:val="clear" w:color="auto" w:fill="FFFFFF"/>
          </w:rPr>
          <w:t xml:space="preserve">Classification internationale </w:t>
        </w:r>
        <w:r w:rsidR="00E221C0" w:rsidRPr="00E221C0">
          <w:rPr>
            <w:rStyle w:val="Hyperlien"/>
            <w:rFonts w:cs="Arial"/>
            <w:shd w:val="clear" w:color="auto" w:fill="FFFFFF"/>
          </w:rPr>
          <w:t>du fonctionnement, du handicap et de la santé</w:t>
        </w:r>
      </w:hyperlink>
      <w:r w:rsidR="00E221C0">
        <w:rPr>
          <w:rStyle w:val="Accentuation"/>
          <w:rFonts w:cs="Arial"/>
          <w:shd w:val="clear" w:color="auto" w:fill="FFFFFF"/>
        </w:rPr>
        <w:t>,</w:t>
      </w:r>
      <w:r w:rsidRPr="00F56F08">
        <w:rPr>
          <w:rFonts w:eastAsia="Times New Roman" w:cs="Arial"/>
          <w:i/>
          <w:shd w:val="clear" w:color="auto" w:fill="FFFFFF"/>
        </w:rPr>
        <w:t> </w:t>
      </w:r>
      <w:r w:rsidRPr="00E221C0">
        <w:rPr>
          <w:rFonts w:eastAsia="Times New Roman" w:cs="Arial"/>
          <w:shd w:val="clear" w:color="auto" w:fill="FFFFFF"/>
        </w:rPr>
        <w:t>élaborée par l’Organisation mondiale de la santé</w:t>
      </w:r>
      <w:r w:rsidR="006235A3">
        <w:rPr>
          <w:rFonts w:eastAsia="Times New Roman" w:cs="Arial"/>
          <w:shd w:val="clear" w:color="auto" w:fill="FFFFFF"/>
        </w:rPr>
        <w:t>.</w:t>
      </w:r>
    </w:p>
    <w:p w14:paraId="092F16EC" w14:textId="77777777" w:rsidR="00BB38B6" w:rsidRDefault="00BB38B6" w:rsidP="00BB38B6">
      <w:pPr>
        <w:rPr>
          <w:rFonts w:cs="Arial"/>
          <w:b/>
          <w:sz w:val="28"/>
          <w:szCs w:val="28"/>
        </w:rPr>
      </w:pPr>
    </w:p>
    <w:p w14:paraId="5F689D98" w14:textId="562D2851" w:rsidR="00BB38B6" w:rsidRDefault="00BB38B6" w:rsidP="00BB38B6">
      <w:pPr>
        <w:rPr>
          <w:b/>
        </w:rPr>
      </w:pPr>
      <w:r w:rsidRPr="008058C9">
        <w:rPr>
          <w:b/>
        </w:rPr>
        <w:t>Pour plus d’informatio</w:t>
      </w:r>
      <w:r w:rsidR="006235A3">
        <w:rPr>
          <w:b/>
        </w:rPr>
        <w:t xml:space="preserve">n </w:t>
      </w:r>
      <w:r>
        <w:rPr>
          <w:b/>
        </w:rPr>
        <w:t>:</w:t>
      </w:r>
    </w:p>
    <w:p w14:paraId="15E0CB12" w14:textId="5A8C9564" w:rsidR="00BB38B6" w:rsidRPr="00E26BB5" w:rsidRDefault="00BB38B6" w:rsidP="00BB38B6">
      <w:pPr>
        <w:rPr>
          <w:rFonts w:cs="Arial"/>
          <w:color w:val="0000FF"/>
          <w:u w:val="single"/>
        </w:rPr>
      </w:pPr>
      <w:r w:rsidRPr="0057271E">
        <w:rPr>
          <w:rFonts w:cs="Arial"/>
        </w:rPr>
        <w:t>Les États signataires ont longtemps été réticents à l’idée que des individus et organisations de la société civile puissent assister aux multiples sessions de l’ONU et rapporter à celui-ci</w:t>
      </w:r>
      <w:r w:rsidRPr="00E26BB5">
        <w:rPr>
          <w:rFonts w:cs="Arial"/>
        </w:rPr>
        <w:t xml:space="preserve"> </w:t>
      </w:r>
      <w:r w:rsidRPr="0057271E">
        <w:rPr>
          <w:rFonts w:cs="Arial"/>
        </w:rPr>
        <w:t xml:space="preserve">les agissements des États. À cet effet, </w:t>
      </w:r>
      <w:r w:rsidR="00BA7A66" w:rsidRPr="00E26BB5">
        <w:rPr>
          <w:rFonts w:cs="Arial"/>
        </w:rPr>
        <w:t>l</w:t>
      </w:r>
      <w:r w:rsidR="00BA7A66" w:rsidRPr="00E26BB5">
        <w:rPr>
          <w:rFonts w:cs="Arial"/>
        </w:rPr>
        <w:t xml:space="preserve">e </w:t>
      </w:r>
      <w:hyperlink r:id="rId15" w:tooltip="Lien vers la page du Protocole facultatif se rapportant à la Convention relative aux droits des personnes handicapées" w:history="1">
        <w:r w:rsidR="00E26BB5" w:rsidRPr="00E26BB5">
          <w:rPr>
            <w:rStyle w:val="Hyperlien"/>
            <w:rFonts w:cs="Arial"/>
          </w:rPr>
          <w:t>P</w:t>
        </w:r>
        <w:r w:rsidR="00BA7A66" w:rsidRPr="00E26BB5">
          <w:rPr>
            <w:rStyle w:val="Hyperlien"/>
            <w:rFonts w:cs="Arial"/>
          </w:rPr>
          <w:t>ro</w:t>
        </w:r>
        <w:r w:rsidR="00BA7A66" w:rsidRPr="00E26BB5">
          <w:rPr>
            <w:rStyle w:val="Hyperlien"/>
            <w:rFonts w:cs="Arial"/>
          </w:rPr>
          <w:t>t</w:t>
        </w:r>
        <w:r w:rsidR="00BA7A66" w:rsidRPr="00E26BB5">
          <w:rPr>
            <w:rStyle w:val="Hyperlien"/>
            <w:rFonts w:cs="Arial"/>
          </w:rPr>
          <w:t xml:space="preserve">ocole </w:t>
        </w:r>
        <w:r w:rsidR="00BA7A66" w:rsidRPr="00E26BB5">
          <w:rPr>
            <w:rStyle w:val="Hyperlien"/>
            <w:rFonts w:cs="Arial"/>
          </w:rPr>
          <w:t>f</w:t>
        </w:r>
        <w:r w:rsidR="00BA7A66" w:rsidRPr="00E26BB5">
          <w:rPr>
            <w:rStyle w:val="Hyperlien"/>
            <w:rFonts w:cs="Arial"/>
          </w:rPr>
          <w:t>acultatif</w:t>
        </w:r>
      </w:hyperlink>
      <w:r w:rsidR="00BA7A66" w:rsidRPr="00E26BB5">
        <w:rPr>
          <w:rFonts w:cs="Arial"/>
        </w:rPr>
        <w:t xml:space="preserve"> est un mécanisme mis en place dans le cadre de la Convention qui permet aux particuliers ou aux groupes</w:t>
      </w:r>
      <w:r w:rsidR="00E26BB5" w:rsidRPr="00E26BB5">
        <w:rPr>
          <w:rFonts w:cs="Arial"/>
        </w:rPr>
        <w:t xml:space="preserve"> non étatiques</w:t>
      </w:r>
      <w:r w:rsidR="00BA7A66" w:rsidRPr="00E26BB5">
        <w:rPr>
          <w:rFonts w:cs="Arial"/>
        </w:rPr>
        <w:t xml:space="preserve"> </w:t>
      </w:r>
      <w:r w:rsidRPr="0057271E">
        <w:rPr>
          <w:rFonts w:cs="Arial"/>
        </w:rPr>
        <w:t>d’influencer les politiques</w:t>
      </w:r>
      <w:r w:rsidR="00E26BB5">
        <w:rPr>
          <w:rFonts w:cs="Arial"/>
        </w:rPr>
        <w:t>.</w:t>
      </w:r>
      <w:r w:rsidRPr="0057271E">
        <w:rPr>
          <w:rFonts w:cs="Arial"/>
        </w:rPr>
        <w:t xml:space="preserve"> </w:t>
      </w:r>
      <w:r w:rsidR="00E26BB5">
        <w:rPr>
          <w:rFonts w:cs="Arial"/>
        </w:rPr>
        <w:t>L</w:t>
      </w:r>
      <w:r w:rsidRPr="0057271E">
        <w:rPr>
          <w:rFonts w:cs="Arial"/>
        </w:rPr>
        <w:t>a Conférence des États parties</w:t>
      </w:r>
      <w:r w:rsidR="00E26BB5">
        <w:rPr>
          <w:rFonts w:cs="Arial"/>
        </w:rPr>
        <w:t>, l</w:t>
      </w:r>
      <w:r w:rsidRPr="0057271E">
        <w:rPr>
          <w:rFonts w:cs="Arial"/>
        </w:rPr>
        <w:t>e Conseil économique et social (</w:t>
      </w:r>
      <w:hyperlink r:id="rId16" w:tooltip="Hylerlien vers le site Web du ECOSOC, le Conseil économique et social de l'ONU (en français)" w:history="1">
        <w:r w:rsidRPr="0057271E">
          <w:rPr>
            <w:rStyle w:val="Hyperlien"/>
            <w:rFonts w:cs="Arial"/>
          </w:rPr>
          <w:t>ECOSOC</w:t>
        </w:r>
      </w:hyperlink>
      <w:r w:rsidRPr="0057271E">
        <w:rPr>
          <w:rFonts w:cs="Arial"/>
        </w:rPr>
        <w:t>), le Pacte international relatif aux droits civils et politiques (</w:t>
      </w:r>
      <w:hyperlink r:id="rId17" w:tooltip="Hyperlien vers la page Web du Pacte international relatif aux droits civils et politiques (en français)" w:history="1">
        <w:r w:rsidRPr="0057271E">
          <w:rPr>
            <w:rStyle w:val="Hyperlien"/>
            <w:rFonts w:cs="Arial"/>
          </w:rPr>
          <w:t>ICCPR</w:t>
        </w:r>
      </w:hyperlink>
      <w:r w:rsidRPr="0057271E">
        <w:rPr>
          <w:rFonts w:cs="Arial"/>
        </w:rPr>
        <w:t xml:space="preserve">) ainsi que les organes </w:t>
      </w:r>
      <w:proofErr w:type="spellStart"/>
      <w:r w:rsidRPr="0057271E">
        <w:rPr>
          <w:rFonts w:cs="Arial"/>
        </w:rPr>
        <w:t>para-judiciaires</w:t>
      </w:r>
      <w:proofErr w:type="spellEnd"/>
      <w:r w:rsidRPr="0057271E">
        <w:rPr>
          <w:rFonts w:cs="Arial"/>
        </w:rPr>
        <w:t xml:space="preserve"> ou conventionnels sont </w:t>
      </w:r>
      <w:r w:rsidR="00BA7A66">
        <w:rPr>
          <w:rFonts w:cs="Arial"/>
        </w:rPr>
        <w:t>d’autres</w:t>
      </w:r>
      <w:r w:rsidRPr="0057271E">
        <w:rPr>
          <w:rFonts w:cs="Arial"/>
        </w:rPr>
        <w:t xml:space="preserve"> instruments vers lesquels les individus peuvent se tourner pour interagir avec l</w:t>
      </w:r>
      <w:r w:rsidR="00BA7A66">
        <w:rPr>
          <w:rFonts w:cs="Arial"/>
        </w:rPr>
        <w:t>’</w:t>
      </w:r>
      <w:r w:rsidRPr="0057271E">
        <w:rPr>
          <w:rFonts w:cs="Arial"/>
        </w:rPr>
        <w:t>ONU</w:t>
      </w:r>
      <w:r>
        <w:rPr>
          <w:rFonts w:cs="Arial"/>
        </w:rPr>
        <w:t>.</w:t>
      </w:r>
      <w:r w:rsidRPr="0057271E">
        <w:rPr>
          <w:rFonts w:cs="Arial"/>
        </w:rPr>
        <w:t xml:space="preserve"> </w:t>
      </w:r>
    </w:p>
    <w:p w14:paraId="6A9C314B" w14:textId="77777777" w:rsidR="00E756EC" w:rsidRPr="00E5670B" w:rsidRDefault="00E756EC" w:rsidP="00BB38B6">
      <w:pPr>
        <w:rPr>
          <w:rStyle w:val="Hyperlien"/>
          <w:rFonts w:cs="Arial"/>
          <w:color w:val="auto"/>
          <w:u w:val="none"/>
        </w:rPr>
      </w:pPr>
    </w:p>
    <w:p w14:paraId="55102F1E" w14:textId="400127AA" w:rsidR="00BB38B6" w:rsidRPr="00E5670B" w:rsidRDefault="0009385B" w:rsidP="00BB38B6">
      <w:pPr>
        <w:rPr>
          <w:rStyle w:val="Hyperlien"/>
          <w:rFonts w:eastAsia="Times New Roman" w:cs="Arial"/>
          <w:color w:val="auto"/>
          <w:u w:val="none"/>
        </w:rPr>
      </w:pPr>
      <w:hyperlink r:id="rId18" w:anchor="advancing-disability-rights" w:tooltip="Lien vers le site Web du ARCH, la page concernant le PF" w:history="1">
        <w:r w:rsidR="00E5670B" w:rsidRPr="00E5670B">
          <w:rPr>
            <w:rStyle w:val="Hyperlien"/>
            <w:rFonts w:eastAsia="Times New Roman" w:cs="Arial"/>
          </w:rPr>
          <w:t xml:space="preserve">Le </w:t>
        </w:r>
        <w:r w:rsidR="00BB38B6" w:rsidRPr="00E5670B">
          <w:rPr>
            <w:rStyle w:val="Hyperlien"/>
            <w:rFonts w:eastAsia="Times New Roman" w:cs="Arial"/>
          </w:rPr>
          <w:t xml:space="preserve">Arch </w:t>
        </w:r>
        <w:proofErr w:type="spellStart"/>
        <w:r w:rsidR="00BB38B6" w:rsidRPr="00E5670B">
          <w:rPr>
            <w:rStyle w:val="Hyperlien"/>
            <w:rFonts w:eastAsia="Times New Roman" w:cs="Arial"/>
          </w:rPr>
          <w:t>Disability</w:t>
        </w:r>
        <w:proofErr w:type="spellEnd"/>
        <w:r w:rsidR="00BB38B6" w:rsidRPr="00E5670B">
          <w:rPr>
            <w:rStyle w:val="Hyperlien"/>
            <w:rFonts w:eastAsia="Times New Roman" w:cs="Arial"/>
          </w:rPr>
          <w:t xml:space="preserve"> Law Centr</w:t>
        </w:r>
        <w:r w:rsidR="00E5670B" w:rsidRPr="00E5670B">
          <w:rPr>
            <w:rStyle w:val="Hyperlien"/>
            <w:rFonts w:eastAsia="Times New Roman" w:cs="Arial"/>
          </w:rPr>
          <w:t>e</w:t>
        </w:r>
      </w:hyperlink>
      <w:r w:rsidR="00E5670B">
        <w:rPr>
          <w:rFonts w:eastAsia="Times New Roman" w:cs="Arial"/>
        </w:rPr>
        <w:t xml:space="preserve"> </w:t>
      </w:r>
      <w:r w:rsidR="00BB38B6">
        <w:rPr>
          <w:rFonts w:eastAsia="Times New Roman" w:cs="Arial"/>
        </w:rPr>
        <w:t xml:space="preserve">(et voir </w:t>
      </w:r>
      <w:r w:rsidR="00A37F1C">
        <w:rPr>
          <w:rFonts w:eastAsia="Times New Roman" w:cs="Arial"/>
        </w:rPr>
        <w:t xml:space="preserve">leur </w:t>
      </w:r>
      <w:r w:rsidR="00BB38B6">
        <w:rPr>
          <w:rFonts w:eastAsia="Times New Roman" w:cs="Arial"/>
        </w:rPr>
        <w:t xml:space="preserve">Vidéo </w:t>
      </w:r>
      <w:hyperlink r:id="rId19" w:tooltip="Hyperlien vers le vidéo Youtube du ARCH sur le PF" w:history="1">
        <w:proofErr w:type="spellStart"/>
        <w:r w:rsidR="00BB38B6" w:rsidRPr="006E1510">
          <w:rPr>
            <w:rStyle w:val="Hyperlien"/>
            <w:rFonts w:eastAsia="Times New Roman" w:cs="Arial"/>
          </w:rPr>
          <w:t>Youtube</w:t>
        </w:r>
        <w:proofErr w:type="spellEnd"/>
      </w:hyperlink>
      <w:r w:rsidR="00A37F1C">
        <w:rPr>
          <w:rFonts w:eastAsia="Times New Roman" w:cs="Arial"/>
        </w:rPr>
        <w:t xml:space="preserve"> expliquant en détail tout ce qui a trait au </w:t>
      </w:r>
      <w:r w:rsidR="00E26BB5">
        <w:rPr>
          <w:rFonts w:eastAsia="Times New Roman" w:cs="Arial"/>
        </w:rPr>
        <w:t>P</w:t>
      </w:r>
      <w:r w:rsidR="00A37F1C">
        <w:rPr>
          <w:rFonts w:eastAsia="Times New Roman" w:cs="Arial"/>
        </w:rPr>
        <w:t>rotocol</w:t>
      </w:r>
      <w:r w:rsidR="004E1BC2">
        <w:rPr>
          <w:rFonts w:eastAsia="Times New Roman" w:cs="Arial"/>
        </w:rPr>
        <w:t>e</w:t>
      </w:r>
      <w:r w:rsidR="00A37F1C">
        <w:rPr>
          <w:rFonts w:eastAsia="Times New Roman" w:cs="Arial"/>
        </w:rPr>
        <w:t xml:space="preserve"> facultatif</w:t>
      </w:r>
      <w:r w:rsidR="004E1BC2">
        <w:rPr>
          <w:rFonts w:eastAsia="Times New Roman" w:cs="Arial"/>
        </w:rPr>
        <w:t xml:space="preserve"> et les impacts de sa signature par le Canada</w:t>
      </w:r>
      <w:r w:rsidR="00BB38B6">
        <w:rPr>
          <w:rFonts w:eastAsia="Times New Roman" w:cs="Arial"/>
        </w:rPr>
        <w:t>)</w:t>
      </w:r>
    </w:p>
    <w:p w14:paraId="051C0030" w14:textId="797E40FE" w:rsidR="00E756EC" w:rsidRDefault="0009385B" w:rsidP="00BB38B6">
      <w:pPr>
        <w:rPr>
          <w:rFonts w:cs="Arial"/>
        </w:rPr>
      </w:pPr>
      <w:hyperlink r:id="rId20" w:tooltip="Lien vers la page Web du CCD, expliquant toute l'importance pour le Canada de signer le PF" w:history="1">
        <w:r w:rsidR="00BB38B6" w:rsidRPr="00E5670B">
          <w:rPr>
            <w:rStyle w:val="Hyperlien"/>
            <w:rFonts w:cs="Arial"/>
          </w:rPr>
          <w:t>Conseil des Canadiens avec Déficiences</w:t>
        </w:r>
      </w:hyperlink>
      <w:r w:rsidR="00BB38B6">
        <w:rPr>
          <w:rFonts w:cs="Arial"/>
        </w:rPr>
        <w:t xml:space="preserve"> (CCD)</w:t>
      </w:r>
      <w:r w:rsidR="00BB38B6" w:rsidRPr="001B04DA">
        <w:rPr>
          <w:rFonts w:cs="Arial"/>
        </w:rPr>
        <w:t xml:space="preserve"> : </w:t>
      </w:r>
      <w:r w:rsidR="00BA7A66">
        <w:rPr>
          <w:rFonts w:cs="Arial"/>
        </w:rPr>
        <w:t>document expliquant l’importance</w:t>
      </w:r>
      <w:r w:rsidR="00E26BB5">
        <w:rPr>
          <w:rFonts w:cs="Arial"/>
        </w:rPr>
        <w:t xml:space="preserve"> pour le Canada de signer le Protocole facultatif.</w:t>
      </w:r>
    </w:p>
    <w:p w14:paraId="68F27D4C" w14:textId="77777777" w:rsidR="00E5670B" w:rsidRPr="00F56F08" w:rsidRDefault="00E5670B" w:rsidP="00BB38B6">
      <w:pPr>
        <w:rPr>
          <w:rFonts w:cs="Arial"/>
          <w:color w:val="000000"/>
        </w:rPr>
      </w:pPr>
    </w:p>
    <w:p w14:paraId="4B5D973A" w14:textId="694C8033" w:rsidR="00FB05B6" w:rsidRPr="002C1434" w:rsidRDefault="002C1434" w:rsidP="002C1434">
      <w:pPr>
        <w:pStyle w:val="Titre1"/>
      </w:pPr>
      <w:bookmarkStart w:id="3" w:name="_3-_Les_documents"/>
      <w:bookmarkEnd w:id="3"/>
      <w:r>
        <w:t xml:space="preserve">3- </w:t>
      </w:r>
      <w:r w:rsidR="00FB05B6" w:rsidRPr="00C51538">
        <w:t xml:space="preserve">Les documents avec lesquels travailler </w:t>
      </w:r>
      <w:r w:rsidR="006235A3">
        <w:t>à l’échelle fédérale</w:t>
      </w:r>
      <w:r w:rsidR="00FB05B6" w:rsidRPr="00C51538">
        <w:t xml:space="preserve"> et concernant le handicap :</w:t>
      </w:r>
    </w:p>
    <w:p w14:paraId="607F739F" w14:textId="56EF9DC7" w:rsidR="00FB05B6" w:rsidRPr="007B161C" w:rsidRDefault="0009385B" w:rsidP="00FB05B6">
      <w:pPr>
        <w:rPr>
          <w:rFonts w:eastAsia="Times New Roman" w:cs="Arial"/>
          <w:shd w:val="clear" w:color="auto" w:fill="FFFFFF"/>
        </w:rPr>
      </w:pPr>
      <w:hyperlink r:id="rId21" w:tooltip="Hyperliens vers le PDF bilingue" w:history="1">
        <w:r w:rsidR="00FB05B6" w:rsidRPr="007B161C">
          <w:rPr>
            <w:rStyle w:val="Hyperlien"/>
            <w:rFonts w:eastAsia="Times New Roman" w:cs="Arial"/>
            <w:shd w:val="clear" w:color="auto" w:fill="FFFFFF"/>
          </w:rPr>
          <w:t xml:space="preserve">La déclaration </w:t>
        </w:r>
        <w:r w:rsidR="006235A3">
          <w:rPr>
            <w:rStyle w:val="Hyperlien"/>
            <w:rFonts w:eastAsia="Times New Roman" w:cs="Arial"/>
            <w:shd w:val="clear" w:color="auto" w:fill="FFFFFF"/>
          </w:rPr>
          <w:t>c</w:t>
        </w:r>
        <w:r w:rsidR="00E5670B" w:rsidRPr="007B161C">
          <w:rPr>
            <w:rStyle w:val="Hyperlien"/>
            <w:rFonts w:eastAsia="Times New Roman" w:cs="Arial"/>
            <w:shd w:val="clear" w:color="auto" w:fill="FFFFFF"/>
          </w:rPr>
          <w:t>anadienne des droits</w:t>
        </w:r>
      </w:hyperlink>
      <w:r w:rsidR="00FB05B6" w:rsidRPr="007B161C">
        <w:rPr>
          <w:rFonts w:eastAsia="Times New Roman" w:cs="Arial"/>
          <w:shd w:val="clear" w:color="auto" w:fill="FFFFFF"/>
        </w:rPr>
        <w:t xml:space="preserve"> (Loi constitutionnelle)</w:t>
      </w:r>
    </w:p>
    <w:p w14:paraId="148375A7" w14:textId="2463C73A" w:rsidR="00FB05B6" w:rsidRPr="007B161C" w:rsidRDefault="0009385B" w:rsidP="00FB05B6">
      <w:pPr>
        <w:rPr>
          <w:rFonts w:eastAsia="Times New Roman" w:cs="Arial"/>
          <w:shd w:val="clear" w:color="auto" w:fill="FFFFFF"/>
        </w:rPr>
      </w:pPr>
      <w:hyperlink r:id="rId22" w:tooltip="Hyperlien vers le PDF bilingue" w:history="1">
        <w:r w:rsidR="00FB05B6" w:rsidRPr="007B161C">
          <w:rPr>
            <w:rStyle w:val="Hyperlien"/>
            <w:rFonts w:eastAsia="Times New Roman" w:cs="Arial"/>
            <w:shd w:val="clear" w:color="auto" w:fill="FFFFFF"/>
          </w:rPr>
          <w:t>Loi canadienne sur l’accessibilité</w:t>
        </w:r>
      </w:hyperlink>
    </w:p>
    <w:p w14:paraId="46183A86" w14:textId="773EE6FD" w:rsidR="00971416" w:rsidRPr="0017646D" w:rsidRDefault="00FB05B6" w:rsidP="00971416">
      <w:pPr>
        <w:rPr>
          <w:rFonts w:eastAsia="Times New Roman" w:cs="Arial"/>
        </w:rPr>
      </w:pPr>
      <w:r w:rsidRPr="00971416">
        <w:rPr>
          <w:rFonts w:eastAsia="Times New Roman" w:cs="Arial"/>
          <w:bCs/>
          <w:color w:val="202020"/>
        </w:rPr>
        <w:t xml:space="preserve">Voir aussi </w:t>
      </w:r>
      <w:r w:rsidR="00726399">
        <w:rPr>
          <w:rFonts w:eastAsia="Times New Roman" w:cs="Arial"/>
          <w:bCs/>
          <w:color w:val="202020"/>
        </w:rPr>
        <w:t>l</w:t>
      </w:r>
      <w:r w:rsidRPr="00971416">
        <w:rPr>
          <w:rFonts w:eastAsia="Times New Roman" w:cs="Arial"/>
          <w:bCs/>
          <w:color w:val="202020"/>
        </w:rPr>
        <w:t>’Organisation canadienne d’élaboration de normes d’accessibilité (</w:t>
      </w:r>
      <w:hyperlink r:id="rId23" w:tooltip="Vers la page Web de l'OCENA" w:history="1">
        <w:r w:rsidRPr="00E5670B">
          <w:rPr>
            <w:rStyle w:val="Hyperlien"/>
            <w:rFonts w:eastAsia="Times New Roman" w:cs="Arial"/>
            <w:bCs/>
          </w:rPr>
          <w:t>OCENA</w:t>
        </w:r>
      </w:hyperlink>
      <w:r w:rsidRPr="00971416">
        <w:rPr>
          <w:rFonts w:eastAsia="Times New Roman" w:cs="Arial"/>
          <w:bCs/>
          <w:color w:val="202020"/>
        </w:rPr>
        <w:t>)</w:t>
      </w:r>
      <w:r w:rsidR="00971416">
        <w:rPr>
          <w:rFonts w:eastAsia="Times New Roman" w:cs="Arial"/>
          <w:b/>
          <w:bCs/>
          <w:color w:val="202020"/>
        </w:rPr>
        <w:t xml:space="preserve"> </w:t>
      </w:r>
    </w:p>
    <w:p w14:paraId="2A89F714" w14:textId="77777777" w:rsidR="00971416" w:rsidRPr="00F214BB" w:rsidRDefault="00971416" w:rsidP="0097141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02020"/>
          <w:shd w:val="clear" w:color="auto" w:fill="FFFFFF"/>
        </w:rPr>
      </w:pPr>
      <w:r w:rsidRPr="00F214BB">
        <w:rPr>
          <w:rFonts w:ascii="Arial" w:eastAsia="Times New Roman" w:hAnsi="Arial" w:cs="Arial"/>
          <w:color w:val="202020"/>
          <w:shd w:val="clear" w:color="auto" w:fill="FFFFFF"/>
        </w:rPr>
        <w:t>L’OCENA a été créé dans le cadre du projet de loi C-81.</w:t>
      </w:r>
    </w:p>
    <w:p w14:paraId="09D89049" w14:textId="77777777" w:rsidR="00971416" w:rsidRDefault="00971416" w:rsidP="0097141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02020"/>
          <w:shd w:val="clear" w:color="auto" w:fill="FFFFFF"/>
        </w:rPr>
      </w:pPr>
      <w:r w:rsidRPr="00F214BB">
        <w:rPr>
          <w:rFonts w:ascii="Arial" w:eastAsia="Times New Roman" w:hAnsi="Arial" w:cs="Arial"/>
          <w:color w:val="202020"/>
          <w:shd w:val="clear" w:color="auto" w:fill="FFFFFF"/>
        </w:rPr>
        <w:t xml:space="preserve">La législation a permis aussi de créer deux autres entités distinctes : </w:t>
      </w:r>
    </w:p>
    <w:p w14:paraId="54240813" w14:textId="1ADDCE42" w:rsidR="00971416" w:rsidRDefault="00971416" w:rsidP="00971416">
      <w:pPr>
        <w:pStyle w:val="Paragraphedeliste"/>
        <w:numPr>
          <w:ilvl w:val="1"/>
          <w:numId w:val="1"/>
        </w:numPr>
        <w:rPr>
          <w:rFonts w:ascii="Arial" w:eastAsia="Times New Roman" w:hAnsi="Arial" w:cs="Arial"/>
          <w:color w:val="202020"/>
          <w:shd w:val="clear" w:color="auto" w:fill="FFFFFF"/>
        </w:rPr>
      </w:pPr>
      <w:proofErr w:type="gramStart"/>
      <w:r w:rsidRPr="00F214BB">
        <w:rPr>
          <w:rFonts w:ascii="Arial" w:eastAsia="Times New Roman" w:hAnsi="Arial" w:cs="Arial"/>
          <w:color w:val="202020"/>
          <w:shd w:val="clear" w:color="auto" w:fill="FFFFFF"/>
        </w:rPr>
        <w:lastRenderedPageBreak/>
        <w:t>le</w:t>
      </w:r>
      <w:proofErr w:type="gramEnd"/>
      <w:r w:rsidRPr="00F214BB">
        <w:rPr>
          <w:rFonts w:ascii="Arial" w:eastAsia="Times New Roman" w:hAnsi="Arial" w:cs="Arial"/>
          <w:color w:val="202020"/>
          <w:shd w:val="clear" w:color="auto" w:fill="FFFFFF"/>
        </w:rPr>
        <w:t xml:space="preserve"> dirigeant principal de l’accessibilité</w:t>
      </w:r>
      <w:r w:rsidR="006235A3">
        <w:rPr>
          <w:rFonts w:ascii="Arial" w:eastAsia="Times New Roman" w:hAnsi="Arial" w:cs="Arial"/>
          <w:color w:val="202020"/>
          <w:shd w:val="clear" w:color="auto" w:fill="FFFFFF"/>
        </w:rPr>
        <w:t>;</w:t>
      </w:r>
      <w:r w:rsidRPr="00F214BB">
        <w:rPr>
          <w:rFonts w:ascii="Arial" w:eastAsia="Times New Roman" w:hAnsi="Arial" w:cs="Arial"/>
          <w:color w:val="202020"/>
          <w:shd w:val="clear" w:color="auto" w:fill="FFFFFF"/>
        </w:rPr>
        <w:t xml:space="preserve"> </w:t>
      </w:r>
    </w:p>
    <w:p w14:paraId="0556ACA7" w14:textId="4A3E874D" w:rsidR="00971416" w:rsidRPr="00F214BB" w:rsidRDefault="00971416" w:rsidP="00971416">
      <w:pPr>
        <w:pStyle w:val="Paragraphedeliste"/>
        <w:numPr>
          <w:ilvl w:val="1"/>
          <w:numId w:val="1"/>
        </w:numPr>
        <w:rPr>
          <w:rFonts w:ascii="Arial" w:eastAsia="Times New Roman" w:hAnsi="Arial" w:cs="Arial"/>
          <w:color w:val="202020"/>
          <w:shd w:val="clear" w:color="auto" w:fill="FFFFFF"/>
        </w:rPr>
      </w:pPr>
      <w:proofErr w:type="gramStart"/>
      <w:r w:rsidRPr="00F214BB">
        <w:rPr>
          <w:rFonts w:ascii="Arial" w:eastAsia="Times New Roman" w:hAnsi="Arial" w:cs="Arial"/>
          <w:color w:val="202020"/>
          <w:shd w:val="clear" w:color="auto" w:fill="FFFFFF"/>
        </w:rPr>
        <w:t>le</w:t>
      </w:r>
      <w:proofErr w:type="gramEnd"/>
      <w:r w:rsidRPr="00F214BB">
        <w:rPr>
          <w:rFonts w:ascii="Arial" w:eastAsia="Times New Roman" w:hAnsi="Arial" w:cs="Arial"/>
          <w:color w:val="202020"/>
          <w:shd w:val="clear" w:color="auto" w:fill="FFFFFF"/>
        </w:rPr>
        <w:t xml:space="preserve"> commissaire à l’accessibilité</w:t>
      </w:r>
      <w:r w:rsidR="006235A3">
        <w:rPr>
          <w:rFonts w:ascii="Arial" w:eastAsia="Times New Roman" w:hAnsi="Arial" w:cs="Arial"/>
          <w:color w:val="202020"/>
          <w:shd w:val="clear" w:color="auto" w:fill="FFFFFF"/>
        </w:rPr>
        <w:t>.</w:t>
      </w:r>
    </w:p>
    <w:p w14:paraId="2E031FDF" w14:textId="77777777" w:rsidR="004E1BC2" w:rsidRDefault="004E1BC2"/>
    <w:p w14:paraId="4AE35A1F" w14:textId="7BA4B9F1" w:rsidR="004E1BC2" w:rsidRPr="00E26BB5" w:rsidRDefault="004E1BC2" w:rsidP="004E1BC2">
      <w:r>
        <w:t xml:space="preserve">Si vous êtes intéressés par la question des litiges et pour en </w:t>
      </w:r>
      <w:r w:rsidR="00E26BB5">
        <w:t>savoir</w:t>
      </w:r>
      <w:r>
        <w:t xml:space="preserve"> plus sur les causes judiciaires célèbres ayant fait avancer les droits des personnes handicapé</w:t>
      </w:r>
      <w:r w:rsidR="00E26BB5">
        <w:t>e</w:t>
      </w:r>
      <w:r>
        <w:t>s au Canada, consulte</w:t>
      </w:r>
      <w:r w:rsidR="00726399">
        <w:t>z</w:t>
      </w:r>
      <w:r>
        <w:t xml:space="preserve"> le site du Conseil des Canadiens avec déficiences (</w:t>
      </w:r>
      <w:hyperlink r:id="rId24" w:tooltip="Hyperlien vers les litiges sur le site du CCD (en anglais seulement)" w:history="1">
        <w:r w:rsidRPr="000B0D35">
          <w:rPr>
            <w:rStyle w:val="Hyperlien"/>
          </w:rPr>
          <w:t>CCD</w:t>
        </w:r>
      </w:hyperlink>
      <w:r>
        <w:t>)</w:t>
      </w:r>
      <w:r w:rsidR="00E26BB5">
        <w:t>.</w:t>
      </w:r>
    </w:p>
    <w:p w14:paraId="6592FB5F" w14:textId="77777777" w:rsidR="00E756EC" w:rsidRDefault="00E756EC" w:rsidP="004E1BC2">
      <w:pPr>
        <w:rPr>
          <w:rFonts w:cs="Arial"/>
          <w:b/>
          <w:color w:val="000000"/>
        </w:rPr>
      </w:pPr>
    </w:p>
    <w:p w14:paraId="765D652A" w14:textId="57895B83" w:rsidR="004E1BC2" w:rsidRPr="004B0994" w:rsidRDefault="002C1434" w:rsidP="002C1434">
      <w:pPr>
        <w:pStyle w:val="Titre1"/>
      </w:pPr>
      <w:bookmarkStart w:id="4" w:name="_4-_Les_documents"/>
      <w:bookmarkEnd w:id="4"/>
      <w:r>
        <w:t xml:space="preserve">4- </w:t>
      </w:r>
      <w:r w:rsidR="004E1BC2" w:rsidRPr="004E1BC2">
        <w:t xml:space="preserve">Les documents avec lesquels travailler </w:t>
      </w:r>
      <w:r w:rsidR="00726399">
        <w:t>à l’échelle</w:t>
      </w:r>
      <w:r w:rsidR="004E1BC2" w:rsidRPr="004E1BC2">
        <w:t xml:space="preserve"> provincial</w:t>
      </w:r>
      <w:r w:rsidR="00726399">
        <w:t>e</w:t>
      </w:r>
      <w:r w:rsidR="004E1BC2" w:rsidRPr="004E1BC2">
        <w:t xml:space="preserve"> (Québec) et concernant le handicap :</w:t>
      </w:r>
    </w:p>
    <w:p w14:paraId="77FEE082" w14:textId="0C6F3037" w:rsidR="004E1BC2" w:rsidRPr="007B161C" w:rsidRDefault="0009385B" w:rsidP="00867C5E">
      <w:pPr>
        <w:spacing w:before="0" w:after="0"/>
        <w:rPr>
          <w:rFonts w:cs="Arial"/>
        </w:rPr>
      </w:pPr>
      <w:hyperlink r:id="rId25" w:tooltip="Hyperlien vers le PDF en français" w:history="1">
        <w:r w:rsidR="004E1BC2" w:rsidRPr="007B161C">
          <w:rPr>
            <w:rStyle w:val="Hyperlien"/>
            <w:rFonts w:cs="Arial"/>
          </w:rPr>
          <w:t>Charte des dr</w:t>
        </w:r>
        <w:r w:rsidR="000B0D35" w:rsidRPr="007B161C">
          <w:rPr>
            <w:rStyle w:val="Hyperlien"/>
            <w:rFonts w:cs="Arial"/>
          </w:rPr>
          <w:t>oits et liberté de la personne</w:t>
        </w:r>
      </w:hyperlink>
      <w:r w:rsidR="001D5BE2" w:rsidRPr="007B161C">
        <w:rPr>
          <w:rFonts w:cs="Arial"/>
        </w:rPr>
        <w:t xml:space="preserve"> (Loi quasi-constitutionnelle ayant préséance sur les autres lois)</w:t>
      </w:r>
    </w:p>
    <w:p w14:paraId="07F7DCEE" w14:textId="129794B5" w:rsidR="004E1BC2" w:rsidRPr="007B161C" w:rsidRDefault="0009385B" w:rsidP="004E1BC2">
      <w:pPr>
        <w:rPr>
          <w:rFonts w:eastAsia="Times New Roman" w:cs="Arial"/>
          <w:shd w:val="clear" w:color="auto" w:fill="FFFFFF"/>
        </w:rPr>
      </w:pPr>
      <w:hyperlink r:id="rId26" w:tooltip="Hyperlien vers la version PDF en français" w:history="1">
        <w:r w:rsidR="004E1BC2" w:rsidRPr="007B161C">
          <w:rPr>
            <w:rStyle w:val="Hyperlien"/>
            <w:rFonts w:eastAsia="Times New Roman" w:cs="Arial"/>
            <w:shd w:val="clear" w:color="auto" w:fill="FFFFFF"/>
          </w:rPr>
          <w:t>Loi assurant l</w:t>
        </w:r>
        <w:r w:rsidR="006235A3">
          <w:rPr>
            <w:rStyle w:val="Hyperlien"/>
            <w:rFonts w:eastAsia="Times New Roman" w:cs="Arial"/>
            <w:shd w:val="clear" w:color="auto" w:fill="FFFFFF"/>
          </w:rPr>
          <w:t>’</w:t>
        </w:r>
        <w:r w:rsidR="004E1BC2" w:rsidRPr="007B161C">
          <w:rPr>
            <w:rStyle w:val="Hyperlien"/>
            <w:rFonts w:eastAsia="Times New Roman" w:cs="Arial"/>
            <w:shd w:val="clear" w:color="auto" w:fill="FFFFFF"/>
          </w:rPr>
          <w:t>exercice des droits des personnes handicapées en vue de leur intégration scolaire, professionnelle et sociale</w:t>
        </w:r>
      </w:hyperlink>
    </w:p>
    <w:p w14:paraId="45D1ED55" w14:textId="2DAC8133" w:rsidR="00867C5E" w:rsidRPr="007B161C" w:rsidRDefault="0009385B" w:rsidP="004E1BC2">
      <w:pPr>
        <w:rPr>
          <w:rFonts w:eastAsia="Times New Roman" w:cs="Arial"/>
          <w:shd w:val="clear" w:color="auto" w:fill="FFFFFF"/>
        </w:rPr>
      </w:pPr>
      <w:hyperlink r:id="rId27" w:tooltip="Hyperlien vers le PDF de la politique" w:history="1">
        <w:r w:rsidR="00867C5E" w:rsidRPr="007B161C">
          <w:rPr>
            <w:rStyle w:val="Hyperlien"/>
            <w:rFonts w:cs="Arial"/>
          </w:rPr>
          <w:t>La politique À part entière : pour un véritable exercice du droit à l’égalité</w:t>
        </w:r>
      </w:hyperlink>
      <w:r w:rsidR="00230910">
        <w:rPr>
          <w:rFonts w:cs="Arial"/>
        </w:rPr>
        <w:t>,</w:t>
      </w:r>
      <w:r w:rsidR="007D0707" w:rsidRPr="00726399">
        <w:rPr>
          <w:rFonts w:cs="Arial"/>
          <w:noProof/>
        </w:rPr>
        <w:t xml:space="preserve"> </w:t>
      </w:r>
      <w:r w:rsidR="00230910">
        <w:rPr>
          <w:rFonts w:cs="Arial"/>
        </w:rPr>
        <w:t>qui</w:t>
      </w:r>
      <w:r w:rsidR="00867C5E" w:rsidRPr="007B161C">
        <w:rPr>
          <w:rFonts w:cs="Arial"/>
        </w:rPr>
        <w:t> a pour but d’accroître la participation sociale des personne</w:t>
      </w:r>
      <w:r w:rsidR="00BC1BB5" w:rsidRPr="007B161C">
        <w:rPr>
          <w:rFonts w:cs="Arial"/>
        </w:rPr>
        <w:t xml:space="preserve">s handicapées sur un horizon de </w:t>
      </w:r>
      <w:r w:rsidR="00867C5E" w:rsidRPr="007B161C">
        <w:rPr>
          <w:rFonts w:cs="Arial"/>
        </w:rPr>
        <w:t>10 ans.</w:t>
      </w:r>
    </w:p>
    <w:p w14:paraId="1C51B941" w14:textId="77777777" w:rsidR="00BC1BB5" w:rsidRDefault="00BC1BB5"/>
    <w:p w14:paraId="050A36DD" w14:textId="389AF0F4" w:rsidR="00BC1BB5" w:rsidRPr="00BC1BB5" w:rsidRDefault="004B0994">
      <w:pPr>
        <w:rPr>
          <w:b/>
        </w:rPr>
      </w:pPr>
      <w:r>
        <w:rPr>
          <w:b/>
        </w:rPr>
        <w:t>Interprétations et obligations</w:t>
      </w:r>
      <w:r w:rsidR="00BC1BB5" w:rsidRPr="00BC1BB5">
        <w:rPr>
          <w:b/>
        </w:rPr>
        <w:t xml:space="preserve"> important</w:t>
      </w:r>
      <w:r>
        <w:rPr>
          <w:b/>
        </w:rPr>
        <w:t>e</w:t>
      </w:r>
      <w:r w:rsidR="00BC1BB5" w:rsidRPr="00BC1BB5">
        <w:rPr>
          <w:b/>
        </w:rPr>
        <w:t xml:space="preserve">s </w:t>
      </w:r>
      <w:r>
        <w:rPr>
          <w:b/>
        </w:rPr>
        <w:t>à garder en tête lors de l’utilisation de la</w:t>
      </w:r>
      <w:r w:rsidR="00BC1BB5" w:rsidRPr="00BC1BB5">
        <w:rPr>
          <w:b/>
        </w:rPr>
        <w:t xml:space="preserve"> C</w:t>
      </w:r>
      <w:r>
        <w:rPr>
          <w:b/>
        </w:rPr>
        <w:t>hart</w:t>
      </w:r>
      <w:r w:rsidR="00BC1BB5" w:rsidRPr="00BC1BB5">
        <w:rPr>
          <w:b/>
        </w:rPr>
        <w:t>e</w:t>
      </w:r>
      <w:r>
        <w:rPr>
          <w:b/>
        </w:rPr>
        <w:t xml:space="preserve"> des droits et libertés du Québec</w:t>
      </w:r>
      <w:r w:rsidR="00BC1BB5" w:rsidRPr="00BC1BB5">
        <w:rPr>
          <w:b/>
        </w:rPr>
        <w:t> </w:t>
      </w:r>
      <w:r w:rsidR="00BC1BB5" w:rsidRPr="00512E1B">
        <w:rPr>
          <w:bCs/>
        </w:rPr>
        <w:t>(</w:t>
      </w:r>
      <w:r w:rsidR="005B3B1E" w:rsidRPr="00512E1B">
        <w:rPr>
          <w:bCs/>
        </w:rPr>
        <w:t>tiré</w:t>
      </w:r>
      <w:r w:rsidR="00424135" w:rsidRPr="00512E1B">
        <w:rPr>
          <w:bCs/>
        </w:rPr>
        <w:t>es</w:t>
      </w:r>
      <w:r w:rsidR="005B3B1E" w:rsidRPr="00512E1B">
        <w:rPr>
          <w:bCs/>
        </w:rPr>
        <w:t xml:space="preserve"> de la </w:t>
      </w:r>
      <w:hyperlink r:id="rId28" w:tooltip="Lien vers le document PDF de la présentation" w:history="1">
        <w:r w:rsidR="005B3B1E" w:rsidRPr="00512E1B">
          <w:rPr>
            <w:rStyle w:val="Hyperlien"/>
            <w:bCs/>
          </w:rPr>
          <w:t>présentation</w:t>
        </w:r>
        <w:r w:rsidR="00512E1B" w:rsidRPr="00512E1B">
          <w:rPr>
            <w:rStyle w:val="Hyperlien"/>
            <w:bCs/>
          </w:rPr>
          <w:t xml:space="preserve"> « Droit à la parentalité »</w:t>
        </w:r>
      </w:hyperlink>
      <w:r w:rsidR="00424135" w:rsidRPr="00512E1B">
        <w:rPr>
          <w:bCs/>
        </w:rPr>
        <w:t xml:space="preserve">, </w:t>
      </w:r>
      <w:r w:rsidR="007D0707" w:rsidRPr="00512E1B">
        <w:rPr>
          <w:bCs/>
        </w:rPr>
        <w:t>Commission des droits de la personne et de la jeunesse) :</w:t>
      </w:r>
    </w:p>
    <w:p w14:paraId="70069AEA" w14:textId="77777777" w:rsidR="00BC1BB5" w:rsidRPr="0065314A" w:rsidRDefault="00BC1BB5" w:rsidP="00BC1BB5">
      <w:pPr>
        <w:rPr>
          <w:rFonts w:cs="Arial"/>
          <w:lang w:val="en-CA"/>
        </w:rPr>
      </w:pPr>
      <w:r w:rsidRPr="001605FB">
        <w:rPr>
          <w:rFonts w:cs="Arial"/>
          <w:b/>
          <w:bCs/>
        </w:rPr>
        <w:t>Interprétation du motif handicap</w:t>
      </w:r>
    </w:p>
    <w:p w14:paraId="4871E431" w14:textId="0AC3A915" w:rsidR="00BC1BB5" w:rsidRDefault="00BC1BB5" w:rsidP="00BC1BB5">
      <w:pPr>
        <w:numPr>
          <w:ilvl w:val="0"/>
          <w:numId w:val="6"/>
        </w:numPr>
        <w:spacing w:before="0" w:after="0"/>
        <w:rPr>
          <w:rFonts w:cs="Arial"/>
        </w:rPr>
      </w:pPr>
      <w:r w:rsidRPr="00895E16">
        <w:rPr>
          <w:rFonts w:cs="Arial"/>
        </w:rPr>
        <w:t>Doit comprendre une affection, même sans limitation fonctionnelle, ainsi que la perception d’une telle affection</w:t>
      </w:r>
      <w:r>
        <w:rPr>
          <w:rFonts w:cs="Arial"/>
        </w:rPr>
        <w:t>;</w:t>
      </w:r>
    </w:p>
    <w:p w14:paraId="5C90BA92" w14:textId="77777777" w:rsidR="004B0994" w:rsidRPr="00EE4965" w:rsidRDefault="004B0994" w:rsidP="004B0994">
      <w:pPr>
        <w:spacing w:before="0" w:after="0"/>
        <w:ind w:left="720"/>
        <w:rPr>
          <w:rFonts w:cs="Arial"/>
        </w:rPr>
      </w:pPr>
    </w:p>
    <w:p w14:paraId="544BF5E7" w14:textId="38B7F667" w:rsidR="00BC1BB5" w:rsidRDefault="00BC1BB5" w:rsidP="00BC1BB5">
      <w:pPr>
        <w:numPr>
          <w:ilvl w:val="0"/>
          <w:numId w:val="7"/>
        </w:numPr>
        <w:spacing w:before="0" w:after="0"/>
        <w:rPr>
          <w:rFonts w:cs="Arial"/>
        </w:rPr>
      </w:pPr>
      <w:r w:rsidRPr="00895E16">
        <w:rPr>
          <w:rFonts w:cs="Arial"/>
        </w:rPr>
        <w:t>Tenir compte non seulement de la condition biomédicale de l’individu, mais aussi des circonstances dans lesquelles une distinction est faite (accent sur la dignité humaine)</w:t>
      </w:r>
      <w:r w:rsidR="006235A3">
        <w:rPr>
          <w:rFonts w:cs="Arial"/>
        </w:rPr>
        <w:t>;</w:t>
      </w:r>
      <w:r w:rsidRPr="00895E16">
        <w:rPr>
          <w:rFonts w:cs="Arial"/>
        </w:rPr>
        <w:t xml:space="preserve"> </w:t>
      </w:r>
    </w:p>
    <w:p w14:paraId="37526501" w14:textId="77777777" w:rsidR="004B0994" w:rsidRPr="00EE4965" w:rsidRDefault="004B0994" w:rsidP="004B0994">
      <w:pPr>
        <w:spacing w:before="0" w:after="0"/>
        <w:ind w:left="720"/>
        <w:rPr>
          <w:rFonts w:cs="Arial"/>
        </w:rPr>
      </w:pPr>
    </w:p>
    <w:p w14:paraId="189CB7C5" w14:textId="0474A29E" w:rsidR="004B0994" w:rsidRDefault="00BC1BB5" w:rsidP="004B0994">
      <w:pPr>
        <w:numPr>
          <w:ilvl w:val="0"/>
          <w:numId w:val="8"/>
        </w:numPr>
        <w:spacing w:before="0" w:after="0"/>
        <w:rPr>
          <w:rFonts w:cs="Arial"/>
        </w:rPr>
      </w:pPr>
      <w:r w:rsidRPr="00895E16">
        <w:rPr>
          <w:rFonts w:cs="Arial"/>
        </w:rPr>
        <w:t xml:space="preserve">Considérer les </w:t>
      </w:r>
      <w:r w:rsidRPr="00895E16">
        <w:rPr>
          <w:rFonts w:cs="Arial"/>
          <w:b/>
          <w:bCs/>
        </w:rPr>
        <w:t xml:space="preserve">obstacles à la pleine participation </w:t>
      </w:r>
      <w:r w:rsidRPr="00895E16">
        <w:rPr>
          <w:rFonts w:cs="Arial"/>
        </w:rPr>
        <w:t>plutôt que sur la condition ou l’état de l’individu (perte ou d’une diminution des possibilités de participer à la vie collective)</w:t>
      </w:r>
    </w:p>
    <w:p w14:paraId="155FA580" w14:textId="77777777" w:rsidR="005B3B1E" w:rsidRDefault="005B3B1E" w:rsidP="00BC1BB5">
      <w:pPr>
        <w:rPr>
          <w:rFonts w:cs="Arial"/>
          <w:b/>
          <w:bCs/>
        </w:rPr>
      </w:pPr>
    </w:p>
    <w:p w14:paraId="790C9926" w14:textId="70CD771E" w:rsidR="00BC1BB5" w:rsidRDefault="00BC1BB5" w:rsidP="00BC1BB5">
      <w:pPr>
        <w:rPr>
          <w:rFonts w:cs="Arial"/>
          <w:b/>
          <w:bCs/>
        </w:rPr>
      </w:pPr>
      <w:r w:rsidRPr="00895E16">
        <w:rPr>
          <w:rFonts w:cs="Arial"/>
          <w:b/>
          <w:bCs/>
        </w:rPr>
        <w:t>Interprétation « utilisation d’un moyen pour pallier le handicap »</w:t>
      </w:r>
    </w:p>
    <w:p w14:paraId="3FC72F7C" w14:textId="14808437" w:rsidR="00E221C0" w:rsidRDefault="00BC1BB5" w:rsidP="00E221C0">
      <w:pPr>
        <w:numPr>
          <w:ilvl w:val="0"/>
          <w:numId w:val="10"/>
        </w:numPr>
        <w:spacing w:before="0" w:after="0"/>
        <w:rPr>
          <w:rFonts w:cs="Arial"/>
        </w:rPr>
      </w:pPr>
      <w:r w:rsidRPr="00895E16">
        <w:rPr>
          <w:rFonts w:cs="Arial"/>
        </w:rPr>
        <w:t xml:space="preserve">Doit être interprétée de façon large afin d’y inclure non seulement de l’équipement quelconque, tel un fauteuil roulant, mais aussi </w:t>
      </w:r>
      <w:r w:rsidRPr="00895E16">
        <w:rPr>
          <w:rFonts w:cs="Arial"/>
          <w:u w:val="single"/>
        </w:rPr>
        <w:t xml:space="preserve">toutes formes </w:t>
      </w:r>
      <w:r w:rsidRPr="00895E16">
        <w:rPr>
          <w:rFonts w:cs="Arial"/>
          <w:u w:val="single"/>
        </w:rPr>
        <w:lastRenderedPageBreak/>
        <w:t>de mesures raisonnables nécessaires</w:t>
      </w:r>
      <w:r w:rsidRPr="00895E16">
        <w:rPr>
          <w:rFonts w:cs="Arial"/>
        </w:rPr>
        <w:t xml:space="preserve"> pour qu’une personne handicapée </w:t>
      </w:r>
      <w:proofErr w:type="gramStart"/>
      <w:r w:rsidRPr="00895E16">
        <w:rPr>
          <w:rFonts w:cs="Arial"/>
        </w:rPr>
        <w:t>puisse</w:t>
      </w:r>
      <w:proofErr w:type="gramEnd"/>
      <w:r w:rsidRPr="00895E16">
        <w:rPr>
          <w:rFonts w:cs="Arial"/>
        </w:rPr>
        <w:t xml:space="preserve"> exercer en toute égalité ses droits</w:t>
      </w:r>
      <w:r w:rsidR="006235A3">
        <w:rPr>
          <w:rFonts w:cs="Arial"/>
        </w:rPr>
        <w:t>.</w:t>
      </w:r>
    </w:p>
    <w:p w14:paraId="5097A38F" w14:textId="77777777" w:rsidR="00E221C0" w:rsidRDefault="00E221C0" w:rsidP="00E221C0">
      <w:pPr>
        <w:spacing w:before="0" w:after="0"/>
        <w:ind w:left="720"/>
        <w:rPr>
          <w:rFonts w:cs="Arial"/>
        </w:rPr>
      </w:pPr>
    </w:p>
    <w:p w14:paraId="300029C2" w14:textId="1E794719" w:rsidR="00BC1BB5" w:rsidRPr="00E221C0" w:rsidRDefault="00BC1BB5" w:rsidP="00E221C0">
      <w:pPr>
        <w:numPr>
          <w:ilvl w:val="0"/>
          <w:numId w:val="10"/>
        </w:numPr>
        <w:spacing w:before="0" w:after="0"/>
        <w:rPr>
          <w:rFonts w:cs="Arial"/>
        </w:rPr>
      </w:pPr>
      <w:r w:rsidRPr="00E221C0">
        <w:rPr>
          <w:rFonts w:cs="Arial"/>
        </w:rPr>
        <w:t>Exemples</w:t>
      </w:r>
      <w:r w:rsidR="00512E1B">
        <w:rPr>
          <w:rFonts w:cs="Arial"/>
        </w:rPr>
        <w:t> :</w:t>
      </w:r>
      <w:r w:rsidRPr="00E221C0">
        <w:rPr>
          <w:rFonts w:cs="Arial"/>
        </w:rPr>
        <w:t xml:space="preserve"> fauteuil roulant, chien-guide ou chien d’assistance, prothèse, l’usage de la langue des signes québécoise, etc.</w:t>
      </w:r>
    </w:p>
    <w:p w14:paraId="203372F2" w14:textId="77777777" w:rsidR="005B3B1E" w:rsidRDefault="005B3B1E" w:rsidP="00BC1BB5">
      <w:pPr>
        <w:rPr>
          <w:rFonts w:cs="Arial"/>
          <w:b/>
          <w:bCs/>
        </w:rPr>
      </w:pPr>
    </w:p>
    <w:p w14:paraId="114ED657" w14:textId="0C547C5B" w:rsidR="00BC1BB5" w:rsidRPr="00895E16" w:rsidRDefault="00BC1BB5" w:rsidP="00BC1BB5">
      <w:pPr>
        <w:rPr>
          <w:rFonts w:cs="Arial"/>
          <w:lang w:val="en-CA"/>
        </w:rPr>
      </w:pPr>
      <w:r w:rsidRPr="00895E16">
        <w:rPr>
          <w:rFonts w:cs="Arial"/>
          <w:b/>
          <w:bCs/>
        </w:rPr>
        <w:t>Obligation d’accommodement raisonnable</w:t>
      </w:r>
    </w:p>
    <w:p w14:paraId="1881796F" w14:textId="0653EEBA" w:rsidR="00BC1BB5" w:rsidRDefault="00BC1BB5" w:rsidP="00BC1BB5">
      <w:pPr>
        <w:numPr>
          <w:ilvl w:val="0"/>
          <w:numId w:val="11"/>
        </w:numPr>
        <w:spacing w:before="0" w:after="0"/>
        <w:rPr>
          <w:rFonts w:cs="Arial"/>
        </w:rPr>
      </w:pPr>
      <w:r w:rsidRPr="00895E16">
        <w:rPr>
          <w:rFonts w:cs="Arial"/>
        </w:rPr>
        <w:t>Une obligation juridique, applicable dans une situation de discrimination</w:t>
      </w:r>
      <w:r w:rsidRPr="00EE4965">
        <w:rPr>
          <w:rFonts w:cs="Arial"/>
        </w:rPr>
        <w:t xml:space="preserve"> </w:t>
      </w:r>
      <w:r w:rsidRPr="000B7371">
        <w:rPr>
          <w:rFonts w:cs="Arial"/>
        </w:rPr>
        <w:t>laquelle consiste à aménager une norme ou une pratique de portée universelle dans les limites du raisonnable</w:t>
      </w:r>
      <w:r w:rsidRPr="00EE4965">
        <w:rPr>
          <w:rFonts w:cs="Arial"/>
        </w:rPr>
        <w:t xml:space="preserve"> </w:t>
      </w:r>
      <w:r w:rsidRPr="000B7371">
        <w:rPr>
          <w:rFonts w:cs="Arial"/>
        </w:rPr>
        <w:t>en accordant un traitement différentiel à une personne qui, autrement, serait pénalisée par l’application d’une telle norme</w:t>
      </w:r>
      <w:r w:rsidR="006235A3">
        <w:rPr>
          <w:rFonts w:cs="Arial"/>
        </w:rPr>
        <w:t>.</w:t>
      </w:r>
    </w:p>
    <w:p w14:paraId="4711A7BF" w14:textId="77777777" w:rsidR="004B0994" w:rsidRPr="00EE4965" w:rsidRDefault="004B0994" w:rsidP="004B0994">
      <w:pPr>
        <w:spacing w:before="0" w:after="0"/>
        <w:ind w:left="720"/>
        <w:rPr>
          <w:rFonts w:cs="Arial"/>
        </w:rPr>
      </w:pPr>
    </w:p>
    <w:p w14:paraId="6EFA97C4" w14:textId="115821B2" w:rsidR="00BC1BB5" w:rsidRPr="005B3B1E" w:rsidRDefault="00BC1BB5" w:rsidP="00BC1BB5">
      <w:pPr>
        <w:numPr>
          <w:ilvl w:val="0"/>
          <w:numId w:val="12"/>
        </w:numPr>
        <w:spacing w:before="0" w:after="0"/>
        <w:rPr>
          <w:rFonts w:cs="Arial"/>
        </w:rPr>
      </w:pPr>
      <w:r w:rsidRPr="00895E16">
        <w:rPr>
          <w:rFonts w:cs="Arial"/>
        </w:rPr>
        <w:t xml:space="preserve">« La notion d’accommodement raisonnable reconnaît que les personnes ayant une déficience ont le même droit d’accès que celles n’ayant pas de déficience, et impose à autrui l’obligation de faire tout ce qui est raisonnablement possible pour tenir compte de ce droit. </w:t>
      </w:r>
      <w:r w:rsidRPr="00895E16">
        <w:rPr>
          <w:rFonts w:cs="Arial"/>
          <w:u w:val="single"/>
        </w:rPr>
        <w:t>L’obstacle discriminatoire doit être éliminé, sauf s’il existe un motif justifiable de le maintenir, lequel peut être établi en prouvant que l’accommodement impose au fournisseur de services une contrainte excessive</w:t>
      </w:r>
      <w:r w:rsidRPr="00895E16">
        <w:rPr>
          <w:rFonts w:cs="Arial"/>
        </w:rPr>
        <w:t xml:space="preserve"> : </w:t>
      </w:r>
      <w:r w:rsidRPr="00895E16">
        <w:rPr>
          <w:rFonts w:cs="Arial"/>
          <w:i/>
          <w:iCs/>
        </w:rPr>
        <w:t xml:space="preserve">Commission scolaire régionale de Chambly </w:t>
      </w:r>
      <w:r w:rsidRPr="00895E16">
        <w:rPr>
          <w:rFonts w:cs="Arial"/>
        </w:rPr>
        <w:t>c</w:t>
      </w:r>
      <w:r w:rsidRPr="00895E16">
        <w:rPr>
          <w:rFonts w:cs="Arial"/>
          <w:i/>
          <w:iCs/>
        </w:rPr>
        <w:t xml:space="preserve">. </w:t>
      </w:r>
      <w:proofErr w:type="spellStart"/>
      <w:r w:rsidRPr="00895E16">
        <w:rPr>
          <w:rFonts w:cs="Arial"/>
          <w:i/>
          <w:iCs/>
        </w:rPr>
        <w:t>Bergevin</w:t>
      </w:r>
      <w:proofErr w:type="spellEnd"/>
      <w:r w:rsidRPr="00895E16">
        <w:rPr>
          <w:rFonts w:cs="Arial"/>
        </w:rPr>
        <w:t>, [1994] 2 R.C.S. 525</w:t>
      </w:r>
    </w:p>
    <w:p w14:paraId="1CB95091" w14:textId="77777777" w:rsidR="005B3B1E" w:rsidRDefault="005B3B1E" w:rsidP="00BC1BB5">
      <w:pPr>
        <w:rPr>
          <w:rFonts w:cs="Arial"/>
          <w:b/>
          <w:bCs/>
        </w:rPr>
      </w:pPr>
    </w:p>
    <w:p w14:paraId="1E9D268D" w14:textId="7D115365" w:rsidR="00BC1BB5" w:rsidRDefault="00BC1BB5" w:rsidP="00BC1BB5">
      <w:pPr>
        <w:rPr>
          <w:rFonts w:cs="Arial"/>
          <w:b/>
          <w:bCs/>
        </w:rPr>
      </w:pPr>
      <w:r w:rsidRPr="00895E16">
        <w:rPr>
          <w:rFonts w:cs="Arial"/>
          <w:b/>
          <w:bCs/>
        </w:rPr>
        <w:t>Jusqu’à contrainte excessive</w:t>
      </w:r>
    </w:p>
    <w:p w14:paraId="0DDCBBE1" w14:textId="276CBAB6" w:rsidR="00BC1BB5" w:rsidRDefault="00BC1BB5" w:rsidP="00BC1BB5">
      <w:pPr>
        <w:numPr>
          <w:ilvl w:val="0"/>
          <w:numId w:val="13"/>
        </w:numPr>
        <w:spacing w:before="0" w:after="0"/>
        <w:rPr>
          <w:rFonts w:cs="Arial"/>
        </w:rPr>
      </w:pPr>
      <w:r w:rsidRPr="00895E16">
        <w:rPr>
          <w:rFonts w:cs="Arial"/>
        </w:rPr>
        <w:t>La</w:t>
      </w:r>
      <w:r>
        <w:rPr>
          <w:rFonts w:cs="Arial"/>
        </w:rPr>
        <w:t xml:space="preserve"> Cour suprême a reconnu qu</w:t>
      </w:r>
      <w:proofErr w:type="gramStart"/>
      <w:r>
        <w:rPr>
          <w:rFonts w:cs="Arial"/>
        </w:rPr>
        <w:t>’</w:t>
      </w:r>
      <w:r w:rsidR="005B3B1E">
        <w:rPr>
          <w:rFonts w:cs="Arial"/>
        </w:rPr>
        <w:t>«</w:t>
      </w:r>
      <w:proofErr w:type="gramEnd"/>
      <w:r w:rsidR="005B3B1E">
        <w:rPr>
          <w:rFonts w:cs="Arial"/>
        </w:rPr>
        <w:t> </w:t>
      </w:r>
      <w:r>
        <w:rPr>
          <w:rFonts w:cs="Arial"/>
        </w:rPr>
        <w:t xml:space="preserve">il </w:t>
      </w:r>
      <w:r w:rsidRPr="00895E16">
        <w:rPr>
          <w:rFonts w:cs="Arial"/>
        </w:rPr>
        <w:t xml:space="preserve">y a contrainte excessive lorsque les moyens raisonnables d’accommoder ont été épuisés et qu’il ne reste que des options d’accommodement </w:t>
      </w:r>
      <w:r w:rsidRPr="00895E16">
        <w:rPr>
          <w:rFonts w:cs="Arial"/>
          <w:u w:val="single"/>
        </w:rPr>
        <w:t>déraisonnables ou irréalistes</w:t>
      </w:r>
      <w:r w:rsidRPr="00895E16">
        <w:rPr>
          <w:rFonts w:cs="Arial"/>
        </w:rPr>
        <w:t>. »</w:t>
      </w:r>
    </w:p>
    <w:p w14:paraId="646A96FD" w14:textId="77777777" w:rsidR="00E221C0" w:rsidRPr="00EE4965" w:rsidRDefault="00E221C0" w:rsidP="00E221C0">
      <w:pPr>
        <w:spacing w:before="0" w:after="0"/>
        <w:ind w:left="720"/>
        <w:rPr>
          <w:rFonts w:cs="Arial"/>
        </w:rPr>
      </w:pPr>
    </w:p>
    <w:p w14:paraId="6820533E" w14:textId="6ED2E627" w:rsidR="00BC1BB5" w:rsidRPr="00895E16" w:rsidRDefault="00BC1BB5" w:rsidP="00BC1BB5">
      <w:pPr>
        <w:numPr>
          <w:ilvl w:val="0"/>
          <w:numId w:val="14"/>
        </w:numPr>
        <w:spacing w:before="0" w:after="0"/>
        <w:rPr>
          <w:rFonts w:cs="Arial"/>
          <w:lang w:val="en-CA"/>
        </w:rPr>
      </w:pPr>
      <w:r w:rsidRPr="00895E16">
        <w:rPr>
          <w:rFonts w:cs="Arial"/>
        </w:rPr>
        <w:t xml:space="preserve">Critères </w:t>
      </w:r>
      <w:r w:rsidR="00230910">
        <w:rPr>
          <w:rFonts w:cs="Arial"/>
        </w:rPr>
        <w:t>à</w:t>
      </w:r>
      <w:r w:rsidRPr="00895E16">
        <w:rPr>
          <w:rFonts w:cs="Arial"/>
        </w:rPr>
        <w:t xml:space="preserve"> considérer: </w:t>
      </w:r>
    </w:p>
    <w:p w14:paraId="3B266DAE" w14:textId="1143B15C" w:rsidR="00BC1BB5" w:rsidRPr="00EE4965" w:rsidRDefault="00BC1BB5" w:rsidP="00BC1BB5">
      <w:pPr>
        <w:numPr>
          <w:ilvl w:val="1"/>
          <w:numId w:val="14"/>
        </w:numPr>
        <w:spacing w:before="0" w:after="0"/>
        <w:rPr>
          <w:rFonts w:cs="Arial"/>
        </w:rPr>
      </w:pPr>
      <w:proofErr w:type="gramStart"/>
      <w:r w:rsidRPr="00895E16">
        <w:rPr>
          <w:rFonts w:cs="Arial"/>
        </w:rPr>
        <w:t>les</w:t>
      </w:r>
      <w:proofErr w:type="gramEnd"/>
      <w:r w:rsidRPr="00895E16">
        <w:rPr>
          <w:rFonts w:cs="Arial"/>
        </w:rPr>
        <w:t xml:space="preserve"> limites des ressources financières et matérielles</w:t>
      </w:r>
      <w:r w:rsidR="005B3B1E">
        <w:rPr>
          <w:rFonts w:cs="Arial"/>
        </w:rPr>
        <w:t>;</w:t>
      </w:r>
    </w:p>
    <w:p w14:paraId="4C4A853A" w14:textId="6CF7D6B5" w:rsidR="00BC1BB5" w:rsidRPr="00EE4965" w:rsidRDefault="00BC1BB5" w:rsidP="00BC1BB5">
      <w:pPr>
        <w:numPr>
          <w:ilvl w:val="1"/>
          <w:numId w:val="14"/>
        </w:numPr>
        <w:spacing w:before="0" w:after="0"/>
        <w:rPr>
          <w:rFonts w:cs="Arial"/>
        </w:rPr>
      </w:pPr>
      <w:proofErr w:type="gramStart"/>
      <w:r w:rsidRPr="00895E16">
        <w:rPr>
          <w:rFonts w:cs="Arial"/>
        </w:rPr>
        <w:t>l’entrave</w:t>
      </w:r>
      <w:proofErr w:type="gramEnd"/>
      <w:r w:rsidRPr="00895E16">
        <w:rPr>
          <w:rFonts w:cs="Arial"/>
        </w:rPr>
        <w:t xml:space="preserve"> à l’exploitation de l’entreprise ou de l’institution</w:t>
      </w:r>
      <w:r w:rsidR="005B3B1E">
        <w:rPr>
          <w:rFonts w:cs="Arial"/>
        </w:rPr>
        <w:t>;</w:t>
      </w:r>
    </w:p>
    <w:p w14:paraId="4BDCFCA2" w14:textId="55F6A0E1" w:rsidR="005B3B1E" w:rsidRPr="00512E1B" w:rsidRDefault="00BC1BB5" w:rsidP="005B3B1E">
      <w:pPr>
        <w:numPr>
          <w:ilvl w:val="1"/>
          <w:numId w:val="14"/>
        </w:numPr>
        <w:spacing w:before="0" w:after="0"/>
        <w:rPr>
          <w:rFonts w:cs="Arial"/>
          <w:lang w:val="en-CA"/>
        </w:rPr>
      </w:pPr>
      <w:proofErr w:type="gramStart"/>
      <w:r w:rsidRPr="00895E16">
        <w:rPr>
          <w:rFonts w:cs="Arial"/>
        </w:rPr>
        <w:t>l’atteinte</w:t>
      </w:r>
      <w:proofErr w:type="gramEnd"/>
      <w:r w:rsidRPr="00895E16">
        <w:rPr>
          <w:rFonts w:cs="Arial"/>
        </w:rPr>
        <w:t xml:space="preserve"> aux droits d’autrui</w:t>
      </w:r>
      <w:r>
        <w:rPr>
          <w:rFonts w:cs="Arial"/>
          <w:lang w:val="en-CA"/>
        </w:rPr>
        <w:t>.</w:t>
      </w:r>
    </w:p>
    <w:sectPr w:rsidR="005B3B1E" w:rsidRPr="00512E1B" w:rsidSect="006235A3">
      <w:pgSz w:w="12240" w:h="15840"/>
      <w:pgMar w:top="205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EDE7" w14:textId="77777777" w:rsidR="0009385B" w:rsidRDefault="0009385B" w:rsidP="00BB38B6">
      <w:pPr>
        <w:spacing w:before="0" w:after="0"/>
      </w:pPr>
      <w:r>
        <w:separator/>
      </w:r>
    </w:p>
  </w:endnote>
  <w:endnote w:type="continuationSeparator" w:id="0">
    <w:p w14:paraId="0D81ED93" w14:textId="77777777" w:rsidR="0009385B" w:rsidRDefault="0009385B" w:rsidP="00BB38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E8F4" w14:textId="77777777" w:rsidR="007B161C" w:rsidRDefault="007B161C" w:rsidP="00A37F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AD361D" w14:textId="77777777" w:rsidR="007B161C" w:rsidRDefault="007B161C" w:rsidP="00BB38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7A06" w14:textId="77777777" w:rsidR="007B161C" w:rsidRPr="008316A5" w:rsidRDefault="007B161C" w:rsidP="00A37F1C">
    <w:pPr>
      <w:pStyle w:val="Pieddepage"/>
      <w:framePr w:wrap="around" w:vAnchor="text" w:hAnchor="margin" w:xAlign="right" w:y="1"/>
      <w:rPr>
        <w:rStyle w:val="Numrodepage"/>
        <w:sz w:val="18"/>
        <w:szCs w:val="18"/>
      </w:rPr>
    </w:pPr>
    <w:r w:rsidRPr="008316A5">
      <w:rPr>
        <w:rStyle w:val="Numrodepage"/>
        <w:sz w:val="18"/>
        <w:szCs w:val="18"/>
      </w:rPr>
      <w:fldChar w:fldCharType="begin"/>
    </w:r>
    <w:r w:rsidRPr="008316A5">
      <w:rPr>
        <w:rStyle w:val="Numrodepage"/>
        <w:sz w:val="18"/>
        <w:szCs w:val="18"/>
      </w:rPr>
      <w:instrText xml:space="preserve">PAGE  </w:instrText>
    </w:r>
    <w:r w:rsidRPr="008316A5">
      <w:rPr>
        <w:rStyle w:val="Numrodepage"/>
        <w:sz w:val="18"/>
        <w:szCs w:val="18"/>
      </w:rPr>
      <w:fldChar w:fldCharType="separate"/>
    </w:r>
    <w:r w:rsidR="00EA1323">
      <w:rPr>
        <w:rStyle w:val="Numrodepage"/>
        <w:noProof/>
        <w:sz w:val="18"/>
        <w:szCs w:val="18"/>
      </w:rPr>
      <w:t>1</w:t>
    </w:r>
    <w:r w:rsidRPr="008316A5">
      <w:rPr>
        <w:rStyle w:val="Numrodepage"/>
        <w:sz w:val="18"/>
        <w:szCs w:val="18"/>
      </w:rPr>
      <w:fldChar w:fldCharType="end"/>
    </w:r>
  </w:p>
  <w:p w14:paraId="14F29443" w14:textId="77777777" w:rsidR="007B161C" w:rsidRDefault="007B161C" w:rsidP="00BB38B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BF61" w14:textId="77777777" w:rsidR="0009385B" w:rsidRDefault="0009385B" w:rsidP="00BB38B6">
      <w:pPr>
        <w:spacing w:before="0" w:after="0"/>
      </w:pPr>
      <w:r>
        <w:separator/>
      </w:r>
    </w:p>
  </w:footnote>
  <w:footnote w:type="continuationSeparator" w:id="0">
    <w:p w14:paraId="50289DD4" w14:textId="77777777" w:rsidR="0009385B" w:rsidRDefault="0009385B" w:rsidP="00BB38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5FC8" w14:textId="2018020A" w:rsidR="007B161C" w:rsidRDefault="007B161C" w:rsidP="00A8795E">
    <w:pPr>
      <w:pStyle w:val="En-tte"/>
      <w:tabs>
        <w:tab w:val="clear" w:pos="8640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F00F51" wp14:editId="628B71A2">
          <wp:simplePos x="0" y="0"/>
          <wp:positionH relativeFrom="column">
            <wp:posOffset>-131496</wp:posOffset>
          </wp:positionH>
          <wp:positionV relativeFrom="paragraph">
            <wp:posOffset>-336292</wp:posOffset>
          </wp:positionV>
          <wp:extent cx="2122212" cy="95486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0x450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96" cy="964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109"/>
    <w:multiLevelType w:val="hybridMultilevel"/>
    <w:tmpl w:val="6C463EAC"/>
    <w:lvl w:ilvl="0" w:tplc="C200F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A7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67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8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A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65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07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7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81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42F31"/>
    <w:multiLevelType w:val="hybridMultilevel"/>
    <w:tmpl w:val="509C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38BA"/>
    <w:multiLevelType w:val="hybridMultilevel"/>
    <w:tmpl w:val="D37CCF1E"/>
    <w:lvl w:ilvl="0" w:tplc="33325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C6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4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946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20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63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A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C0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C1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7A32B4C"/>
    <w:multiLevelType w:val="hybridMultilevel"/>
    <w:tmpl w:val="AE24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264B3"/>
    <w:multiLevelType w:val="hybridMultilevel"/>
    <w:tmpl w:val="0ACA249E"/>
    <w:lvl w:ilvl="0" w:tplc="310AC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CE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63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A9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C9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1A2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002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A9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F0A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A97713"/>
    <w:multiLevelType w:val="hybridMultilevel"/>
    <w:tmpl w:val="177EADE4"/>
    <w:lvl w:ilvl="0" w:tplc="713456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0607"/>
    <w:multiLevelType w:val="hybridMultilevel"/>
    <w:tmpl w:val="B74421E8"/>
    <w:lvl w:ilvl="0" w:tplc="0D06F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265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E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EF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46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AE1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A2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85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A7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104873"/>
    <w:multiLevelType w:val="hybridMultilevel"/>
    <w:tmpl w:val="45AE7924"/>
    <w:lvl w:ilvl="0" w:tplc="D0E20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A4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C3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26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42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A4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B2F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02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69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B3E297C"/>
    <w:multiLevelType w:val="hybridMultilevel"/>
    <w:tmpl w:val="48042858"/>
    <w:lvl w:ilvl="0" w:tplc="C356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7849"/>
    <w:multiLevelType w:val="hybridMultilevel"/>
    <w:tmpl w:val="ACDE4092"/>
    <w:lvl w:ilvl="0" w:tplc="A532D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EC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60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F41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6E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C5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AF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65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0F003D"/>
    <w:multiLevelType w:val="hybridMultilevel"/>
    <w:tmpl w:val="81E6EA02"/>
    <w:lvl w:ilvl="0" w:tplc="F9CEF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0A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8C92D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EF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04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42C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F87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A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65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CB4EE3"/>
    <w:multiLevelType w:val="hybridMultilevel"/>
    <w:tmpl w:val="3A10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3062D"/>
    <w:multiLevelType w:val="hybridMultilevel"/>
    <w:tmpl w:val="356CB99C"/>
    <w:lvl w:ilvl="0" w:tplc="0DA02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E99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45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83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01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0A3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EED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6E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5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C06F8F"/>
    <w:multiLevelType w:val="hybridMultilevel"/>
    <w:tmpl w:val="38AED5D0"/>
    <w:lvl w:ilvl="0" w:tplc="3A96F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0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C9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D28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86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66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EB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82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E8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4C02A6"/>
    <w:multiLevelType w:val="hybridMultilevel"/>
    <w:tmpl w:val="B66E1118"/>
    <w:lvl w:ilvl="0" w:tplc="39723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E79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0CC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6E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8B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E0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C4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01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64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16E"/>
    <w:rsid w:val="0009385B"/>
    <w:rsid w:val="000B0D35"/>
    <w:rsid w:val="000B4245"/>
    <w:rsid w:val="00142CDC"/>
    <w:rsid w:val="0017646D"/>
    <w:rsid w:val="001D5BE2"/>
    <w:rsid w:val="00230910"/>
    <w:rsid w:val="00233C49"/>
    <w:rsid w:val="00281139"/>
    <w:rsid w:val="002C1434"/>
    <w:rsid w:val="0033360C"/>
    <w:rsid w:val="0033568B"/>
    <w:rsid w:val="00424135"/>
    <w:rsid w:val="004B0994"/>
    <w:rsid w:val="004E1BC2"/>
    <w:rsid w:val="00512E1B"/>
    <w:rsid w:val="005B3B1E"/>
    <w:rsid w:val="006235A3"/>
    <w:rsid w:val="006E1510"/>
    <w:rsid w:val="0072636E"/>
    <w:rsid w:val="00726399"/>
    <w:rsid w:val="007B161C"/>
    <w:rsid w:val="007D0707"/>
    <w:rsid w:val="008058C9"/>
    <w:rsid w:val="0081060F"/>
    <w:rsid w:val="008316A5"/>
    <w:rsid w:val="00867C5E"/>
    <w:rsid w:val="008A19A2"/>
    <w:rsid w:val="00927C3A"/>
    <w:rsid w:val="00971416"/>
    <w:rsid w:val="009F4636"/>
    <w:rsid w:val="00A37F1C"/>
    <w:rsid w:val="00A8795E"/>
    <w:rsid w:val="00AB4135"/>
    <w:rsid w:val="00B61BA7"/>
    <w:rsid w:val="00BA7A66"/>
    <w:rsid w:val="00BB38B6"/>
    <w:rsid w:val="00BC1BB5"/>
    <w:rsid w:val="00BD3F2F"/>
    <w:rsid w:val="00C1316E"/>
    <w:rsid w:val="00C51538"/>
    <w:rsid w:val="00D15D2A"/>
    <w:rsid w:val="00D9350E"/>
    <w:rsid w:val="00E16A14"/>
    <w:rsid w:val="00E221C0"/>
    <w:rsid w:val="00E26BB5"/>
    <w:rsid w:val="00E5670B"/>
    <w:rsid w:val="00E756EC"/>
    <w:rsid w:val="00EA1323"/>
    <w:rsid w:val="00F216B0"/>
    <w:rsid w:val="00FA2545"/>
    <w:rsid w:val="00FB05B6"/>
    <w:rsid w:val="00F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EDF94"/>
  <w14:defaultImageDpi w14:val="300"/>
  <w15:docId w15:val="{87856491-3B76-EB49-93A6-C2BA8C70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2A"/>
    <w:pPr>
      <w:spacing w:before="120" w:after="120"/>
    </w:pPr>
    <w:rPr>
      <w:rFonts w:ascii="Arial" w:hAnsi="Arial"/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D3F2F"/>
    <w:pPr>
      <w:keepNext/>
      <w:keepLines/>
      <w:shd w:val="clear" w:color="auto" w:fill="FFFFFF"/>
      <w:spacing w:before="0" w:after="240"/>
      <w:outlineLvl w:val="0"/>
    </w:pPr>
    <w:rPr>
      <w:rFonts w:eastAsiaTheme="majorEastAsia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3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135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Titre1Car">
    <w:name w:val="Titre 1 Car"/>
    <w:basedOn w:val="Policepardfaut"/>
    <w:link w:val="Titre1"/>
    <w:uiPriority w:val="9"/>
    <w:rsid w:val="00BD3F2F"/>
    <w:rPr>
      <w:rFonts w:ascii="Arial" w:eastAsiaTheme="majorEastAsia" w:hAnsi="Arial" w:cs="Arial"/>
      <w:b/>
      <w:bCs/>
      <w:sz w:val="28"/>
      <w:szCs w:val="32"/>
      <w:shd w:val="clear" w:color="auto" w:fill="FFFFFF"/>
      <w:lang w:val="fr-CA"/>
    </w:rPr>
  </w:style>
  <w:style w:type="paragraph" w:styleId="Lgende">
    <w:name w:val="caption"/>
    <w:basedOn w:val="Normal"/>
    <w:next w:val="Normal"/>
    <w:uiPriority w:val="35"/>
    <w:unhideWhenUsed/>
    <w:qFormat/>
    <w:rsid w:val="00D9350E"/>
    <w:pPr>
      <w:spacing w:before="0" w:after="200"/>
    </w:pPr>
    <w:rPr>
      <w:bCs/>
      <w:sz w:val="16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C13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/>
    </w:rPr>
  </w:style>
  <w:style w:type="character" w:styleId="lev">
    <w:name w:val="Strong"/>
    <w:basedOn w:val="Policepardfaut"/>
    <w:uiPriority w:val="22"/>
    <w:qFormat/>
    <w:rsid w:val="00C1316E"/>
    <w:rPr>
      <w:b/>
      <w:bCs/>
    </w:rPr>
  </w:style>
  <w:style w:type="character" w:styleId="Hyperlien">
    <w:name w:val="Hyperlink"/>
    <w:basedOn w:val="Policepardfaut"/>
    <w:uiPriority w:val="99"/>
    <w:unhideWhenUsed/>
    <w:rsid w:val="00C1316E"/>
    <w:rPr>
      <w:color w:val="0000FF"/>
      <w:u w:val="single"/>
    </w:rPr>
  </w:style>
  <w:style w:type="character" w:customStyle="1" w:styleId="archive-list-item-title">
    <w:name w:val="archive-list-item-title"/>
    <w:basedOn w:val="Policepardfaut"/>
    <w:rsid w:val="00C1316E"/>
  </w:style>
  <w:style w:type="paragraph" w:styleId="Paragraphedeliste">
    <w:name w:val="List Paragraph"/>
    <w:basedOn w:val="Normal"/>
    <w:uiPriority w:val="34"/>
    <w:qFormat/>
    <w:rsid w:val="00C1316E"/>
    <w:pPr>
      <w:spacing w:before="0" w:after="0"/>
      <w:ind w:left="720"/>
      <w:contextualSpacing/>
    </w:pPr>
    <w:rPr>
      <w:rFonts w:asciiTheme="minorHAnsi" w:eastAsia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BB38B6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B38B6"/>
    <w:rPr>
      <w:rFonts w:ascii="Arial" w:hAnsi="Arial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BB38B6"/>
  </w:style>
  <w:style w:type="character" w:styleId="Accentuation">
    <w:name w:val="Emphasis"/>
    <w:basedOn w:val="Policepardfaut"/>
    <w:uiPriority w:val="20"/>
    <w:qFormat/>
    <w:rsid w:val="00BB38B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7C5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C5E"/>
    <w:rPr>
      <w:rFonts w:ascii="Lucida Grande" w:hAnsi="Lucida Grande" w:cs="Lucida Grande"/>
      <w:sz w:val="18"/>
      <w:szCs w:val="1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BD3F2F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3F2F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  <w:lang w:val="fr-CA"/>
    </w:rPr>
  </w:style>
  <w:style w:type="character" w:styleId="Lienvisit">
    <w:name w:val="FollowedHyperlink"/>
    <w:basedOn w:val="Policepardfaut"/>
    <w:uiPriority w:val="99"/>
    <w:semiHidden/>
    <w:unhideWhenUsed/>
    <w:rsid w:val="002C143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33C49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233C49"/>
    <w:rPr>
      <w:rFonts w:ascii="Arial" w:hAnsi="Arial"/>
      <w:lang w:val="fr-CA"/>
    </w:rPr>
  </w:style>
  <w:style w:type="paragraph" w:styleId="Notedebasdepage">
    <w:name w:val="footnote text"/>
    <w:basedOn w:val="Normal"/>
    <w:link w:val="NotedebasdepageCar"/>
    <w:uiPriority w:val="99"/>
    <w:unhideWhenUsed/>
    <w:rsid w:val="008316A5"/>
    <w:pPr>
      <w:spacing w:before="0"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8316A5"/>
    <w:rPr>
      <w:rFonts w:ascii="Arial" w:hAnsi="Arial"/>
      <w:lang w:val="fr-CA"/>
    </w:rPr>
  </w:style>
  <w:style w:type="character" w:styleId="Appelnotedebasdep">
    <w:name w:val="footnote reference"/>
    <w:basedOn w:val="Policepardfaut"/>
    <w:uiPriority w:val="99"/>
    <w:unhideWhenUsed/>
    <w:rsid w:val="008316A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2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ohchr.org/EN/UDHR/Documents/UDHR_Translations/frn.pdf" TargetMode="External"/><Relationship Id="rId18" Type="http://schemas.openxmlformats.org/officeDocument/2006/relationships/hyperlink" Target="http://archdisabilitylaw.ca/arch_alert/arch-alert-volume-20-issue-4/" TargetMode="External"/><Relationship Id="rId26" Type="http://schemas.openxmlformats.org/officeDocument/2006/relationships/hyperlink" Target="http://legisquebec.gouv.qc.ca/fr/pdf/cs/E-20.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ws-lois.justice.gc.ca/PDF/C-12.3.pdf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un.org/disabilities/documents/convention/convoptprot-f.pdf" TargetMode="External"/><Relationship Id="rId17" Type="http://schemas.openxmlformats.org/officeDocument/2006/relationships/hyperlink" Target="https://www.ohchr.org/fr/professionalinterest/pages/ccpr.aspx" TargetMode="External"/><Relationship Id="rId25" Type="http://schemas.openxmlformats.org/officeDocument/2006/relationships/hyperlink" Target="http://legisquebec.gouv.qc.ca/fr/pdf/cs/C-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.org/ecosoc/fr/home" TargetMode="External"/><Relationship Id="rId20" Type="http://schemas.openxmlformats.org/officeDocument/2006/relationships/hyperlink" Target="http://www.ccdonline.ca/fr/international/un/canada/CRPD-OP-16March201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fr/professionalinterest/pages/crc.aspx" TargetMode="External"/><Relationship Id="rId24" Type="http://schemas.openxmlformats.org/officeDocument/2006/relationships/hyperlink" Target="http://www.ccdonline.ca/en/humanrights/litig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hchr.org/FR/ProfessionalInterest/Pages/OptionalProtocolRightsPersonsWithDisabilities.aspx" TargetMode="External"/><Relationship Id="rId23" Type="http://schemas.openxmlformats.org/officeDocument/2006/relationships/hyperlink" Target="https://www.canada.ca/fr/organisation-canadienne-elaboration-normes-accessibilite.html" TargetMode="External"/><Relationship Id="rId28" Type="http://schemas.openxmlformats.org/officeDocument/2006/relationships/hyperlink" Target="https://cloud.societeinclusive.ca/index.php/s/bFsq2kyNEdfQ9wz" TargetMode="External"/><Relationship Id="rId10" Type="http://schemas.openxmlformats.org/officeDocument/2006/relationships/hyperlink" Target="https://stephanebeaulac.openum.ca/files/sites/84/2011/07/INTERLE%cc%81GALITE%cc%81-ET-RE%cc%81CEPTION-DU-DROIT-INTERNATIONAL-EN-DROIT-INTERNE-CANADIEN-ET-QUE%cc%81BE%cc%81COIS.pdf" TargetMode="External"/><Relationship Id="rId19" Type="http://schemas.openxmlformats.org/officeDocument/2006/relationships/hyperlink" Target="https://www.youtube.com/watch?v=kQSU5WwWZ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apps.who.int/iris/bitstream/handle/10665/42418/9242545422_fre.pdf" TargetMode="External"/><Relationship Id="rId22" Type="http://schemas.openxmlformats.org/officeDocument/2006/relationships/hyperlink" Target="https://laws-lois.justice.gc.ca/PDF/A-0.6.pdf" TargetMode="External"/><Relationship Id="rId27" Type="http://schemas.openxmlformats.org/officeDocument/2006/relationships/hyperlink" Target="https://www.ophq.gouv.qc.ca/fileadmin/centre_documentaire/Documents_administratifs/Politique_a_part_entiere_Acc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1464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Blackburn</dc:creator>
  <cp:keywords/>
  <dc:description/>
  <cp:lastModifiedBy>Fabienne Boursiquot, Mrs</cp:lastModifiedBy>
  <cp:revision>31</cp:revision>
  <dcterms:created xsi:type="dcterms:W3CDTF">2020-01-08T16:49:00Z</dcterms:created>
  <dcterms:modified xsi:type="dcterms:W3CDTF">2020-01-13T16:46:00Z</dcterms:modified>
</cp:coreProperties>
</file>